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5" w:rsidRDefault="00891865" w:rsidP="008871D4">
      <w:pPr>
        <w:spacing w:after="0" w:line="480" w:lineRule="auto"/>
        <w:jc w:val="right"/>
        <w:rPr>
          <w:rFonts w:ascii="Bookman Old Style" w:hAnsi="Bookman Old Style" w:cs="Times New Roman"/>
          <w:b/>
          <w:bCs/>
          <w:sz w:val="28"/>
          <w:szCs w:val="24"/>
          <w:u w:val="single"/>
        </w:rPr>
      </w:pPr>
    </w:p>
    <w:p w:rsidR="004B37B0" w:rsidRPr="0092541B" w:rsidRDefault="0071253D" w:rsidP="005943CE">
      <w:pPr>
        <w:spacing w:after="0" w:line="480" w:lineRule="auto"/>
        <w:jc w:val="center"/>
        <w:rPr>
          <w:rFonts w:ascii="Bookman Old Style" w:hAnsi="Bookman Old Style" w:cs="Times New Roman"/>
          <w:b/>
          <w:bCs/>
          <w:sz w:val="28"/>
          <w:szCs w:val="24"/>
          <w:u w:val="single"/>
        </w:rPr>
      </w:pPr>
      <w:r w:rsidRPr="0092541B">
        <w:rPr>
          <w:rFonts w:ascii="Bookman Old Style" w:hAnsi="Bookman Old Style" w:cs="Times New Roman"/>
          <w:b/>
          <w:bCs/>
          <w:sz w:val="28"/>
          <w:szCs w:val="24"/>
          <w:u w:val="single"/>
        </w:rPr>
        <w:t xml:space="preserve">SRI VENKATESWARA </w:t>
      </w:r>
      <w:proofErr w:type="gramStart"/>
      <w:r w:rsidRPr="0092541B">
        <w:rPr>
          <w:rFonts w:ascii="Bookman Old Style" w:hAnsi="Bookman Old Style" w:cs="Times New Roman"/>
          <w:b/>
          <w:bCs/>
          <w:sz w:val="28"/>
          <w:szCs w:val="24"/>
          <w:u w:val="single"/>
        </w:rPr>
        <w:t>UNIVERSITY :</w:t>
      </w:r>
      <w:proofErr w:type="gramEnd"/>
      <w:r w:rsidRPr="0092541B">
        <w:rPr>
          <w:rFonts w:ascii="Bookman Old Style" w:hAnsi="Bookman Old Style" w:cs="Times New Roman"/>
          <w:b/>
          <w:bCs/>
          <w:sz w:val="28"/>
          <w:szCs w:val="24"/>
          <w:u w:val="single"/>
        </w:rPr>
        <w:t xml:space="preserve"> TIRUPATI</w:t>
      </w:r>
    </w:p>
    <w:p w:rsidR="004B37B0" w:rsidRPr="0092541B" w:rsidRDefault="0071253D" w:rsidP="004B37B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thick"/>
        </w:rPr>
      </w:pPr>
      <w:r w:rsidRPr="0092541B">
        <w:rPr>
          <w:rFonts w:ascii="Bookman Old Style" w:hAnsi="Bookman Old Style" w:cs="Times New Roman"/>
          <w:b/>
          <w:sz w:val="24"/>
          <w:szCs w:val="24"/>
          <w:u w:val="thick"/>
        </w:rPr>
        <w:t xml:space="preserve">B. A (ACCOUNTANCY) – </w:t>
      </w:r>
      <w:proofErr w:type="gramStart"/>
      <w:r w:rsidRPr="0092541B">
        <w:rPr>
          <w:rFonts w:ascii="Bookman Old Style" w:hAnsi="Bookman Old Style" w:cs="Times New Roman"/>
          <w:b/>
          <w:bCs/>
          <w:sz w:val="24"/>
          <w:szCs w:val="24"/>
          <w:u w:val="thick"/>
        </w:rPr>
        <w:t>SEMESTER  V</w:t>
      </w:r>
      <w:proofErr w:type="gramEnd"/>
      <w:r w:rsidRPr="0092541B">
        <w:rPr>
          <w:rFonts w:ascii="Bookman Old Style" w:hAnsi="Bookman Old Style" w:cs="Times New Roman"/>
          <w:b/>
          <w:bCs/>
          <w:sz w:val="24"/>
          <w:szCs w:val="24"/>
          <w:u w:val="thick"/>
        </w:rPr>
        <w:t xml:space="preserve"> </w:t>
      </w:r>
      <w:r w:rsidR="00B51B28" w:rsidRPr="0092541B">
        <w:rPr>
          <w:rFonts w:ascii="Bookman Old Style" w:hAnsi="Bookman Old Style" w:cs="Times New Roman"/>
          <w:b/>
          <w:bCs/>
          <w:sz w:val="24"/>
          <w:szCs w:val="24"/>
          <w:u w:val="thick"/>
        </w:rPr>
        <w:t>-</w:t>
      </w:r>
      <w:r w:rsidRPr="0092541B">
        <w:rPr>
          <w:rFonts w:ascii="Bookman Old Style" w:hAnsi="Bookman Old Style" w:cs="Times New Roman"/>
          <w:b/>
          <w:bCs/>
          <w:sz w:val="24"/>
          <w:szCs w:val="24"/>
          <w:u w:val="thick"/>
        </w:rPr>
        <w:t xml:space="preserve"> SYLLABUS </w:t>
      </w:r>
    </w:p>
    <w:p w:rsidR="004B37B0" w:rsidRPr="0092541B" w:rsidRDefault="004B37B0" w:rsidP="004B37B0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:rsidR="004B37B0" w:rsidRPr="0092541B" w:rsidRDefault="004B37B0" w:rsidP="004B37B0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:rsidR="004B37B0" w:rsidRPr="0092541B" w:rsidRDefault="005C3BAA" w:rsidP="004B37B0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</w:t>
      </w:r>
      <w:r w:rsidR="004B37B0" w:rsidRPr="0092541B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E81658" w:rsidRPr="0092541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943CE" w:rsidRPr="0092541B">
        <w:rPr>
          <w:rFonts w:ascii="Bookman Old Style" w:hAnsi="Bookman Old Style" w:cs="Times New Roman"/>
          <w:b/>
          <w:sz w:val="24"/>
          <w:szCs w:val="24"/>
        </w:rPr>
        <w:t xml:space="preserve">ACCOUNTING </w:t>
      </w:r>
    </w:p>
    <w:p w:rsidR="00E81658" w:rsidRDefault="006B56FF" w:rsidP="00E81658">
      <w:pPr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E81658" w:rsidRPr="0092541B">
        <w:rPr>
          <w:rFonts w:ascii="Bookman Old Style" w:hAnsi="Bookman Old Style" w:cs="Times New Roman"/>
          <w:sz w:val="24"/>
          <w:szCs w:val="24"/>
        </w:rPr>
        <w:t xml:space="preserve"> 5.</w:t>
      </w:r>
      <w:r w:rsidR="00E96380">
        <w:rPr>
          <w:rFonts w:ascii="Bookman Old Style" w:hAnsi="Bookman Old Style" w:cs="Times New Roman"/>
          <w:sz w:val="24"/>
          <w:szCs w:val="24"/>
        </w:rPr>
        <w:t>2</w:t>
      </w:r>
      <w:r w:rsidR="00E81658" w:rsidRPr="0092541B">
        <w:rPr>
          <w:rFonts w:ascii="Bookman Old Style" w:hAnsi="Bookman Old Style" w:cs="Times New Roman"/>
          <w:sz w:val="24"/>
          <w:szCs w:val="24"/>
        </w:rPr>
        <w:t xml:space="preserve">    Goods and Services Tax Fundamentals </w:t>
      </w:r>
    </w:p>
    <w:p w:rsidR="00E96380" w:rsidRDefault="00930613" w:rsidP="0093061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E96380" w:rsidRPr="0092541B">
        <w:rPr>
          <w:rFonts w:ascii="Bookman Old Style" w:hAnsi="Bookman Old Style" w:cs="Times New Roman"/>
          <w:sz w:val="24"/>
          <w:szCs w:val="24"/>
        </w:rPr>
        <w:t>5.</w:t>
      </w:r>
      <w:r w:rsidR="00E96380">
        <w:rPr>
          <w:rFonts w:ascii="Bookman Old Style" w:hAnsi="Bookman Old Style" w:cs="Times New Roman"/>
          <w:sz w:val="24"/>
          <w:szCs w:val="24"/>
        </w:rPr>
        <w:t>3</w:t>
      </w:r>
      <w:r w:rsidR="00E96380" w:rsidRPr="0092541B">
        <w:rPr>
          <w:rFonts w:ascii="Bookman Old Style" w:hAnsi="Bookman Old Style" w:cs="Times New Roman"/>
          <w:sz w:val="24"/>
          <w:szCs w:val="24"/>
        </w:rPr>
        <w:t xml:space="preserve">    Advanced Corporate Accounting </w:t>
      </w:r>
    </w:p>
    <w:p w:rsidR="005C3BAA" w:rsidRDefault="005C3BAA" w:rsidP="00930613">
      <w:pPr>
        <w:rPr>
          <w:rFonts w:ascii="Bookman Old Style" w:hAnsi="Bookman Old Style" w:cs="Times New Roman"/>
          <w:sz w:val="24"/>
          <w:szCs w:val="24"/>
        </w:rPr>
      </w:pPr>
    </w:p>
    <w:p w:rsidR="005C3BAA" w:rsidRPr="0092541B" w:rsidRDefault="005C3BAA" w:rsidP="005C3BAA">
      <w:pPr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Pr="0092541B">
        <w:rPr>
          <w:rFonts w:ascii="Bookman Old Style" w:hAnsi="Bookman Old Style" w:cs="Times New Roman"/>
          <w:b/>
          <w:bCs/>
          <w:sz w:val="24"/>
          <w:szCs w:val="24"/>
        </w:rPr>
        <w:t>. CORPORATE ACCOUNTING</w:t>
      </w:r>
    </w:p>
    <w:p w:rsidR="005C3BAA" w:rsidRPr="0092541B" w:rsidRDefault="005C3BAA" w:rsidP="005C3BAA">
      <w:pPr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 </w:t>
      </w:r>
      <w:r w:rsidR="008C0A6F">
        <w:rPr>
          <w:rFonts w:ascii="Bookman Old Style" w:hAnsi="Bookman Old Style" w:cs="Times New Roman"/>
          <w:sz w:val="24"/>
          <w:szCs w:val="24"/>
        </w:rPr>
        <w:tab/>
      </w:r>
      <w:r w:rsidRPr="0092541B">
        <w:rPr>
          <w:rFonts w:ascii="Bookman Old Style" w:hAnsi="Bookman Old Style" w:cs="Times New Roman"/>
          <w:sz w:val="24"/>
          <w:szCs w:val="24"/>
        </w:rPr>
        <w:t xml:space="preserve"> 5.</w:t>
      </w:r>
      <w:r>
        <w:rPr>
          <w:rFonts w:ascii="Bookman Old Style" w:hAnsi="Bookman Old Style" w:cs="Times New Roman"/>
          <w:sz w:val="24"/>
          <w:szCs w:val="24"/>
        </w:rPr>
        <w:t>4</w:t>
      </w:r>
      <w:proofErr w:type="gramStart"/>
      <w:r w:rsidRPr="0092541B">
        <w:rPr>
          <w:rFonts w:ascii="Bookman Old Style" w:hAnsi="Bookman Old Style" w:cs="Times New Roman"/>
          <w:sz w:val="24"/>
          <w:szCs w:val="24"/>
        </w:rPr>
        <w:t>.  Accounting</w:t>
      </w:r>
      <w:proofErr w:type="gramEnd"/>
      <w:r w:rsidRPr="0092541B">
        <w:rPr>
          <w:rFonts w:ascii="Bookman Old Style" w:hAnsi="Bookman Old Style" w:cs="Times New Roman"/>
          <w:sz w:val="24"/>
          <w:szCs w:val="24"/>
        </w:rPr>
        <w:t xml:space="preserve"> &amp; Auditing  Standards</w:t>
      </w:r>
    </w:p>
    <w:p w:rsidR="005C3BAA" w:rsidRPr="0092541B" w:rsidRDefault="005C3BAA" w:rsidP="008C0A6F">
      <w:pPr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5.5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  Accounting for Govt. Entities</w:t>
      </w:r>
    </w:p>
    <w:p w:rsidR="00E96380" w:rsidRPr="0092541B" w:rsidRDefault="00E96380" w:rsidP="00E81658">
      <w:pPr>
        <w:rPr>
          <w:rFonts w:ascii="Bookman Old Style" w:hAnsi="Bookman Old Style" w:cs="Times New Roman"/>
          <w:sz w:val="24"/>
          <w:szCs w:val="24"/>
        </w:rPr>
      </w:pPr>
    </w:p>
    <w:p w:rsidR="00E81658" w:rsidRPr="0092541B" w:rsidRDefault="00E81658" w:rsidP="00E81658">
      <w:pPr>
        <w:rPr>
          <w:rFonts w:ascii="Bookman Old Style" w:hAnsi="Bookman Old Style" w:cs="Times New Roman"/>
          <w:sz w:val="24"/>
          <w:szCs w:val="24"/>
        </w:rPr>
      </w:pPr>
    </w:p>
    <w:p w:rsidR="00E81658" w:rsidRPr="0092541B" w:rsidRDefault="00E81658" w:rsidP="00E81658">
      <w:pPr>
        <w:rPr>
          <w:rFonts w:ascii="Bookman Old Style" w:hAnsi="Bookman Old Style" w:cs="Times New Roman"/>
          <w:sz w:val="24"/>
          <w:szCs w:val="24"/>
        </w:rPr>
      </w:pPr>
    </w:p>
    <w:p w:rsidR="00E81658" w:rsidRPr="0092541B" w:rsidRDefault="006C3D59" w:rsidP="00E81658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92541B">
        <w:rPr>
          <w:rFonts w:ascii="Bookman Old Style" w:hAnsi="Bookman Old Style" w:cs="Times New Roman"/>
          <w:b/>
          <w:i/>
          <w:sz w:val="24"/>
          <w:szCs w:val="24"/>
          <w:u w:val="single"/>
        </w:rPr>
        <w:t>Note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: </w:t>
      </w:r>
      <w:r w:rsidR="00291518" w:rsidRPr="0092541B">
        <w:rPr>
          <w:rFonts w:ascii="Bookman Old Style" w:hAnsi="Bookman Old Style" w:cs="Times New Roman"/>
          <w:sz w:val="24"/>
          <w:szCs w:val="24"/>
        </w:rPr>
        <w:t xml:space="preserve"> </w:t>
      </w:r>
      <w:r w:rsidR="00E81658" w:rsidRPr="0092541B">
        <w:rPr>
          <w:rFonts w:ascii="Bookman Old Style" w:hAnsi="Bookman Old Style" w:cs="Times New Roman"/>
          <w:b/>
          <w:i/>
          <w:sz w:val="24"/>
          <w:szCs w:val="24"/>
        </w:rPr>
        <w:t xml:space="preserve">Candidates can </w:t>
      </w:r>
      <w:r w:rsidR="00DB346E" w:rsidRPr="0092541B">
        <w:rPr>
          <w:rFonts w:ascii="Bookman Old Style" w:hAnsi="Bookman Old Style" w:cs="Times New Roman"/>
          <w:b/>
          <w:i/>
          <w:sz w:val="24"/>
          <w:szCs w:val="24"/>
        </w:rPr>
        <w:t>s</w:t>
      </w:r>
      <w:r w:rsidR="00E81658" w:rsidRPr="0092541B">
        <w:rPr>
          <w:rFonts w:ascii="Bookman Old Style" w:hAnsi="Bookman Old Style" w:cs="Times New Roman"/>
          <w:b/>
          <w:i/>
          <w:sz w:val="24"/>
          <w:szCs w:val="24"/>
        </w:rPr>
        <w:t xml:space="preserve">elect any one of the above electives </w:t>
      </w:r>
    </w:p>
    <w:p w:rsidR="00E81658" w:rsidRPr="0092541B" w:rsidRDefault="00291518" w:rsidP="00E81658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92541B">
        <w:rPr>
          <w:rFonts w:ascii="Bookman Old Style" w:hAnsi="Bookman Old Style" w:cs="Times New Roman"/>
          <w:b/>
          <w:i/>
          <w:sz w:val="24"/>
          <w:szCs w:val="24"/>
        </w:rPr>
        <w:t xml:space="preserve">          </w:t>
      </w:r>
      <w:r w:rsidR="00E81658" w:rsidRPr="0092541B">
        <w:rPr>
          <w:rFonts w:ascii="Bookman Old Style" w:hAnsi="Bookman Old Style" w:cs="Times New Roman"/>
          <w:b/>
          <w:i/>
          <w:sz w:val="24"/>
          <w:szCs w:val="24"/>
        </w:rPr>
        <w:t xml:space="preserve">75 marks university examination and 25 marks internal </w:t>
      </w:r>
    </w:p>
    <w:p w:rsidR="00D95AF7" w:rsidRPr="0092541B" w:rsidRDefault="00D95AF7">
      <w:pPr>
        <w:rPr>
          <w:rFonts w:ascii="Bookman Old Style" w:hAnsi="Bookman Old Style"/>
          <w:b/>
          <w:i/>
          <w:sz w:val="24"/>
          <w:szCs w:val="24"/>
        </w:rPr>
      </w:pPr>
      <w:r w:rsidRPr="0092541B"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D95AF7" w:rsidRPr="0092541B" w:rsidRDefault="008871D4" w:rsidP="008871D4">
      <w:pPr>
        <w:spacing w:after="0" w:line="312" w:lineRule="atLeast"/>
        <w:jc w:val="right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>
        <w:rPr>
          <w:rFonts w:ascii="Bookman Old Style" w:hAnsi="Bookman Old Style" w:cs="Times New Roman"/>
          <w:b/>
          <w:bCs/>
          <w:i/>
          <w:iCs/>
          <w:sz w:val="28"/>
          <w:szCs w:val="28"/>
        </w:rPr>
        <w:lastRenderedPageBreak/>
        <w:t>1-5-103</w:t>
      </w:r>
    </w:p>
    <w:p w:rsidR="008871D4" w:rsidRDefault="008871D4" w:rsidP="00D95AF7">
      <w:pPr>
        <w:spacing w:after="0" w:line="312" w:lineRule="atLeast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</w:p>
    <w:p w:rsidR="00D95AF7" w:rsidRPr="0092541B" w:rsidRDefault="002E4E00" w:rsidP="00D95AF7">
      <w:pPr>
        <w:spacing w:after="0" w:line="312" w:lineRule="atLeast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92541B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CORPORATE ACCOUNTING</w:t>
      </w:r>
    </w:p>
    <w:p w:rsidR="00D95AF7" w:rsidRPr="0092541B" w:rsidRDefault="00D95AF7" w:rsidP="00D95AF7">
      <w:pPr>
        <w:spacing w:after="0" w:line="312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D95AF7" w:rsidRPr="0092541B" w:rsidRDefault="005E6FE6" w:rsidP="00D95AF7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92541B">
        <w:rPr>
          <w:rFonts w:ascii="Bookman Old Style" w:eastAsia="Times New Roman" w:hAnsi="Bookman Old Style"/>
          <w:b/>
          <w:sz w:val="24"/>
          <w:szCs w:val="24"/>
        </w:rPr>
        <w:t xml:space="preserve">DSC  </w:t>
      </w:r>
      <w:r w:rsidRPr="0092541B">
        <w:rPr>
          <w:rFonts w:ascii="Bookman Old Style" w:hAnsi="Bookman Old Style"/>
          <w:b/>
          <w:sz w:val="24"/>
          <w:szCs w:val="24"/>
        </w:rPr>
        <w:t>5.</w:t>
      </w:r>
      <w:r w:rsidR="004F1047">
        <w:rPr>
          <w:rFonts w:ascii="Bookman Old Style" w:hAnsi="Bookman Old Style"/>
          <w:b/>
          <w:sz w:val="24"/>
          <w:szCs w:val="24"/>
        </w:rPr>
        <w:t>4</w:t>
      </w:r>
      <w:proofErr w:type="gramEnd"/>
      <w:r w:rsidRPr="0092541B">
        <w:rPr>
          <w:rFonts w:ascii="Bookman Old Style" w:hAnsi="Bookman Old Style"/>
          <w:b/>
          <w:sz w:val="24"/>
          <w:szCs w:val="24"/>
        </w:rPr>
        <w:t xml:space="preserve"> ACCOUNTING &amp; AUDITING STANDARDS</w:t>
      </w:r>
    </w:p>
    <w:p w:rsidR="00D95AF7" w:rsidRPr="0092541B" w:rsidRDefault="00D95AF7" w:rsidP="00512042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</w:p>
    <w:p w:rsidR="00D95AF7" w:rsidRPr="0092541B" w:rsidRDefault="00D95AF7" w:rsidP="0051204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/>
          <w:b/>
        </w:rPr>
      </w:pPr>
      <w:r w:rsidRPr="0092541B">
        <w:rPr>
          <w:rFonts w:ascii="Bookman Old Style" w:hAnsi="Bookman Old Style"/>
          <w:b/>
        </w:rPr>
        <w:t xml:space="preserve">Unit-I: Introduction: </w:t>
      </w:r>
      <w:r w:rsidRPr="0092541B">
        <w:rPr>
          <w:rFonts w:ascii="Bookman Old Style" w:hAnsi="Bookman Old Style"/>
        </w:rPr>
        <w:t>Significance of</w:t>
      </w:r>
      <w:r w:rsidRPr="0092541B">
        <w:rPr>
          <w:rFonts w:ascii="Bookman Old Style" w:hAnsi="Bookman Old Style"/>
          <w:b/>
        </w:rPr>
        <w:t xml:space="preserve"> </w:t>
      </w:r>
      <w:r w:rsidRPr="0092541B">
        <w:rPr>
          <w:rFonts w:ascii="Bookman Old Style" w:hAnsi="Bookman Old Style"/>
        </w:rPr>
        <w:t xml:space="preserve">Accounting Standards - National and International Accounting Standards - Accounting Standards in India.  </w:t>
      </w:r>
    </w:p>
    <w:p w:rsidR="00D95AF7" w:rsidRPr="0092541B" w:rsidRDefault="00D95AF7" w:rsidP="0051204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/>
          <w:b/>
        </w:rPr>
      </w:pPr>
    </w:p>
    <w:p w:rsidR="00D95AF7" w:rsidRPr="0092541B" w:rsidRDefault="00D95AF7" w:rsidP="00512042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</w:pP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>Unit-II:   Accounting Standards (AS-1 to AS-16):</w:t>
      </w: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 </w:t>
      </w:r>
      <w:r w:rsidRPr="0092541B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 xml:space="preserve">AS-1: Disclosure of Accounting policies – AS-2: Valuation of inventories –AS-3: Cash flow statement – AS-4: Contingencies in balance sheet  – AS-5: Net profit or loss, prior period items and changes  – AS-6: Depreciation Accounting – AS-7: Construction Contracts – AS-9: Revenue Recognition – AS 10: Accounting for Fixed assets - AS-11: Effects of changes in foreign exchange rates- AS-12: Accounting for government grants – </w:t>
      </w:r>
      <w:r w:rsidRPr="0092541B">
        <w:rPr>
          <w:rFonts w:ascii="Bookman Old Style" w:eastAsia="Times New Roman" w:hAnsi="Bookman Old Style"/>
          <w:b/>
          <w:color w:val="000000"/>
          <w:sz w:val="24"/>
          <w:szCs w:val="24"/>
          <w:shd w:val="clear" w:color="auto" w:fill="FFFFFF"/>
        </w:rPr>
        <w:t>AS-13: Accounting for investments</w:t>
      </w:r>
      <w:r w:rsidRPr="0092541B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 xml:space="preserve"> – AS-14: Accounting for Amalgamation – AS-15: Employee benefits – AS-16: Borrowing costs .</w:t>
      </w:r>
    </w:p>
    <w:p w:rsidR="00D95AF7" w:rsidRPr="0092541B" w:rsidRDefault="00D95AF7" w:rsidP="00512042">
      <w:pPr>
        <w:spacing w:after="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</w:pPr>
    </w:p>
    <w:p w:rsidR="00D95AF7" w:rsidRPr="0092541B" w:rsidRDefault="00D95AF7" w:rsidP="00512042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</w:pP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>Unit-III:  Accounting Standards (AS17 to AS-32):</w:t>
      </w: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 </w:t>
      </w:r>
      <w:r w:rsidRPr="0092541B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>– AS-17: Segment reporting – AS-18: Related party disclosures – AS-19: Leases – AS-20: Earning per share - AS-21: Consolidated financial statements – AS-22: Accounting for taxes – AS-23: Accounting for investments – AS-24: Discontinuing operations – AS-25: Interim Financial Reporting – AS-26: Intangible assets – AS-27: Financial reporting of interests in joint ventures – AS-28: Impairment of assets – AS-29: Provisions, Contingent liabilities and assets; AS-30: Financial Instruments: Recognition and Measurement; AS-31: Financial Instruments: Presentation – AS-32:Financial Instruments: Disclosures.</w:t>
      </w:r>
    </w:p>
    <w:p w:rsidR="00D95AF7" w:rsidRPr="0092541B" w:rsidRDefault="00D95AF7" w:rsidP="00512042">
      <w:pPr>
        <w:spacing w:after="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</w:pPr>
    </w:p>
    <w:p w:rsidR="00D95AF7" w:rsidRPr="0092541B" w:rsidRDefault="00D95AF7" w:rsidP="00512042">
      <w:pPr>
        <w:spacing w:after="0"/>
        <w:jc w:val="both"/>
        <w:rPr>
          <w:rFonts w:ascii="Bookman Old Style" w:eastAsia="Times New Roman" w:hAnsi="Bookman Old Style"/>
          <w:bCs/>
          <w:color w:val="000000"/>
          <w:sz w:val="24"/>
          <w:szCs w:val="24"/>
          <w:shd w:val="clear" w:color="auto" w:fill="FFFFFF"/>
        </w:rPr>
      </w:pP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 xml:space="preserve">Unit-IV: Auditing Standards: </w:t>
      </w:r>
      <w:r w:rsidRPr="0092541B">
        <w:rPr>
          <w:rFonts w:ascii="Bookman Old Style" w:eastAsia="Times New Roman" w:hAnsi="Bookman Old Style"/>
          <w:bCs/>
          <w:color w:val="000000"/>
          <w:sz w:val="24"/>
          <w:szCs w:val="24"/>
          <w:shd w:val="clear" w:color="auto" w:fill="FFFFFF"/>
        </w:rPr>
        <w:t>Procedure - International Federation of Accountants - Auditing and Assurance Standards Board - Indian Auditing Standards (issued so far) Overview.</w:t>
      </w:r>
    </w:p>
    <w:p w:rsidR="00D95AF7" w:rsidRPr="0092541B" w:rsidRDefault="00D95AF7" w:rsidP="00512042">
      <w:pPr>
        <w:spacing w:after="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</w:pPr>
    </w:p>
    <w:p w:rsidR="00D95AF7" w:rsidRPr="0092541B" w:rsidRDefault="00D95AF7" w:rsidP="00512042">
      <w:pPr>
        <w:spacing w:after="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</w:pP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 xml:space="preserve">Unit-V: International Financial Reporting Standards (IFRS): </w:t>
      </w:r>
      <w:r w:rsidRPr="0092541B">
        <w:rPr>
          <w:rFonts w:ascii="Bookman Old Style" w:eastAsia="Times New Roman" w:hAnsi="Bookman Old Style"/>
          <w:bCs/>
          <w:color w:val="000000"/>
          <w:sz w:val="24"/>
          <w:szCs w:val="24"/>
          <w:shd w:val="clear" w:color="auto" w:fill="FFFFFF"/>
        </w:rPr>
        <w:t>Origin - Procedure -</w:t>
      </w: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2541B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 xml:space="preserve">  International Accounting Standards Board - Adoption in India.</w:t>
      </w:r>
      <w:r w:rsidRPr="0092541B">
        <w:rPr>
          <w:rFonts w:ascii="Bookman Old Style" w:eastAsia="Times New Roman" w:hAnsi="Bookman Old Style"/>
          <w:color w:val="000000"/>
          <w:sz w:val="24"/>
          <w:szCs w:val="24"/>
        </w:rPr>
        <w:t> </w:t>
      </w:r>
      <w:r w:rsidRPr="0092541B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95AF7" w:rsidRPr="0092541B" w:rsidRDefault="00D95AF7" w:rsidP="00512042">
      <w:pPr>
        <w:spacing w:after="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</w:pPr>
    </w:p>
    <w:p w:rsidR="00D95AF7" w:rsidRPr="0092541B" w:rsidRDefault="00512042" w:rsidP="0051204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2541B">
        <w:rPr>
          <w:rFonts w:ascii="Bookman Old Style" w:hAnsi="Bookman Old Style"/>
          <w:b/>
          <w:sz w:val="24"/>
          <w:szCs w:val="24"/>
        </w:rPr>
        <w:t>REFERENCES</w:t>
      </w:r>
      <w:r w:rsidR="00D95AF7" w:rsidRPr="0092541B">
        <w:rPr>
          <w:rFonts w:ascii="Bookman Old Style" w:hAnsi="Bookman Old Style"/>
          <w:b/>
          <w:sz w:val="24"/>
          <w:szCs w:val="24"/>
        </w:rPr>
        <w:t>:</w:t>
      </w:r>
    </w:p>
    <w:p w:rsidR="00D95AF7" w:rsidRPr="0092541B" w:rsidRDefault="00D95AF7" w:rsidP="0051204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51204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1. Taxman’s Students’ Guide to Accounting Standards, D. S. </w:t>
      </w:r>
      <w:proofErr w:type="spellStart"/>
      <w:r w:rsidRPr="0092541B">
        <w:rPr>
          <w:rFonts w:ascii="Bookman Old Style" w:hAnsi="Bookman Old Style"/>
          <w:sz w:val="24"/>
          <w:szCs w:val="24"/>
        </w:rPr>
        <w:t>Rawat</w:t>
      </w:r>
      <w:proofErr w:type="spellEnd"/>
      <w:r w:rsidRPr="0092541B">
        <w:rPr>
          <w:rFonts w:ascii="Bookman Old Style" w:hAnsi="Bookman Old Style"/>
          <w:sz w:val="24"/>
          <w:szCs w:val="24"/>
        </w:rPr>
        <w:t>, Taxman Publications.</w:t>
      </w:r>
    </w:p>
    <w:p w:rsidR="00D95AF7" w:rsidRPr="0092541B" w:rsidRDefault="00D95AF7" w:rsidP="0051204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2. Compendium of Statements and Standards on Accounting, </w:t>
      </w:r>
      <w:proofErr w:type="gramStart"/>
      <w:r w:rsidRPr="0092541B">
        <w:rPr>
          <w:rFonts w:ascii="Bookman Old Style" w:hAnsi="Bookman Old Style"/>
          <w:sz w:val="24"/>
          <w:szCs w:val="24"/>
        </w:rPr>
        <w:t>The</w:t>
      </w:r>
      <w:proofErr w:type="gramEnd"/>
      <w:r w:rsidRPr="0092541B">
        <w:rPr>
          <w:rFonts w:ascii="Bookman Old Style" w:hAnsi="Bookman Old Style"/>
          <w:sz w:val="24"/>
          <w:szCs w:val="24"/>
        </w:rPr>
        <w:t xml:space="preserve"> </w:t>
      </w:r>
      <w:smartTag w:uri="urn:schemas-microsoft-com:office:smarttags" w:element="PlaceType">
        <w:r w:rsidRPr="0092541B">
          <w:rPr>
            <w:rFonts w:ascii="Bookman Old Style" w:hAnsi="Bookman Old Style"/>
            <w:sz w:val="24"/>
            <w:szCs w:val="24"/>
          </w:rPr>
          <w:t>Institute</w:t>
        </w:r>
      </w:smartTag>
      <w:r w:rsidRPr="0092541B">
        <w:rPr>
          <w:rFonts w:ascii="Bookman Old Style" w:hAnsi="Bookman Old Style"/>
          <w:sz w:val="24"/>
          <w:szCs w:val="24"/>
        </w:rPr>
        <w:t xml:space="preserve"> of </w:t>
      </w:r>
      <w:smartTag w:uri="urn:schemas-microsoft-com:office:smarttags" w:element="PlaceName">
        <w:r w:rsidRPr="0092541B">
          <w:rPr>
            <w:rFonts w:ascii="Bookman Old Style" w:hAnsi="Bookman Old Style"/>
            <w:sz w:val="24"/>
            <w:szCs w:val="24"/>
          </w:rPr>
          <w:t>Chartered Accountants</w:t>
        </w:r>
      </w:smartTag>
      <w:r w:rsidRPr="0092541B">
        <w:rPr>
          <w:rFonts w:ascii="Bookman Old Style" w:hAnsi="Bookman Old Style"/>
          <w:sz w:val="24"/>
          <w:szCs w:val="24"/>
        </w:rPr>
        <w:t xml:space="preserve"> of </w:t>
      </w:r>
      <w:smartTag w:uri="urn:schemas-microsoft-com:office:smarttags" w:element="country-region">
        <w:r w:rsidRPr="0092541B">
          <w:rPr>
            <w:rFonts w:ascii="Bookman Old Style" w:hAnsi="Bookman Old Style"/>
            <w:sz w:val="24"/>
            <w:szCs w:val="24"/>
          </w:rPr>
          <w:t>India</w:t>
        </w:r>
      </w:smartTag>
      <w:r w:rsidRPr="0092541B">
        <w:rPr>
          <w:rFonts w:ascii="Bookman Old Style" w:hAnsi="Bookman Old Style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2541B">
            <w:rPr>
              <w:rFonts w:ascii="Bookman Old Style" w:hAnsi="Bookman Old Style"/>
              <w:sz w:val="24"/>
              <w:szCs w:val="24"/>
            </w:rPr>
            <w:t>New Delhi</w:t>
          </w:r>
        </w:smartTag>
      </w:smartTag>
      <w:r w:rsidRPr="0092541B">
        <w:rPr>
          <w:rFonts w:ascii="Bookman Old Style" w:hAnsi="Bookman Old Style"/>
          <w:sz w:val="24"/>
          <w:szCs w:val="24"/>
        </w:rPr>
        <w:t>.</w:t>
      </w:r>
    </w:p>
    <w:p w:rsidR="00D95AF7" w:rsidRPr="0092541B" w:rsidRDefault="00D95AF7" w:rsidP="0051204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3. British Accounting Standards, Ronal Leach and Edward Stamp, </w:t>
      </w:r>
      <w:proofErr w:type="spellStart"/>
      <w:r w:rsidRPr="0092541B">
        <w:rPr>
          <w:rFonts w:ascii="Bookman Old Style" w:hAnsi="Bookman Old Style"/>
          <w:sz w:val="24"/>
          <w:szCs w:val="24"/>
        </w:rPr>
        <w:t>Woodhead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 Faulkner Ltd, </w:t>
      </w:r>
      <w:smartTag w:uri="urn:schemas-microsoft-com:office:smarttags" w:element="City">
        <w:smartTag w:uri="urn:schemas-microsoft-com:office:smarttags" w:element="place">
          <w:r w:rsidRPr="0092541B">
            <w:rPr>
              <w:rFonts w:ascii="Bookman Old Style" w:hAnsi="Bookman Old Style"/>
              <w:sz w:val="24"/>
              <w:szCs w:val="24"/>
            </w:rPr>
            <w:t>Cambridge</w:t>
          </w:r>
        </w:smartTag>
      </w:smartTag>
      <w:r w:rsidRPr="0092541B">
        <w:rPr>
          <w:rFonts w:ascii="Bookman Old Style" w:hAnsi="Bookman Old Style"/>
          <w:sz w:val="24"/>
          <w:szCs w:val="24"/>
        </w:rPr>
        <w:t>.</w:t>
      </w:r>
    </w:p>
    <w:p w:rsidR="00D95AF7" w:rsidRPr="0092541B" w:rsidRDefault="00D95AF7" w:rsidP="0051204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4. T. P. </w:t>
      </w:r>
      <w:proofErr w:type="spellStart"/>
      <w:r w:rsidRPr="0092541B">
        <w:rPr>
          <w:rFonts w:ascii="Bookman Old Style" w:hAnsi="Bookman Old Style"/>
          <w:sz w:val="24"/>
          <w:szCs w:val="24"/>
        </w:rPr>
        <w:t>Ghosh</w:t>
      </w:r>
      <w:proofErr w:type="spellEnd"/>
      <w:r w:rsidRPr="0092541B">
        <w:rPr>
          <w:rFonts w:ascii="Bookman Old Style" w:hAnsi="Bookman Old Style"/>
          <w:sz w:val="24"/>
          <w:szCs w:val="24"/>
        </w:rPr>
        <w:t>, Accounting Standards and Corporate Accounting Practices, Taxman Publications.</w:t>
      </w:r>
    </w:p>
    <w:p w:rsidR="00D95AF7" w:rsidRPr="0092541B" w:rsidRDefault="00D95AF7" w:rsidP="00512042">
      <w:pPr>
        <w:jc w:val="both"/>
        <w:rPr>
          <w:rFonts w:ascii="Bookman Old Style" w:hAnsi="Bookman Old Style"/>
        </w:rPr>
      </w:pPr>
    </w:p>
    <w:p w:rsidR="00D95AF7" w:rsidRPr="0092541B" w:rsidRDefault="00D95AF7" w:rsidP="00512042">
      <w:pPr>
        <w:jc w:val="both"/>
        <w:rPr>
          <w:rFonts w:ascii="Bookman Old Style" w:hAnsi="Bookman Old Style"/>
        </w:rPr>
      </w:pPr>
    </w:p>
    <w:p w:rsidR="00866939" w:rsidRDefault="00866939">
      <w:pPr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</w:pPr>
      <w:r>
        <w:rPr>
          <w:rFonts w:ascii="Bookman Old Style" w:hAnsi="Bookman Old Style"/>
          <w:b/>
        </w:rPr>
        <w:br w:type="page"/>
      </w:r>
    </w:p>
    <w:p w:rsidR="001E6154" w:rsidRDefault="001E6154" w:rsidP="001E6154">
      <w:pPr>
        <w:pStyle w:val="NormalWeb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1-5-104</w:t>
      </w:r>
    </w:p>
    <w:p w:rsidR="001E6154" w:rsidRDefault="001E6154" w:rsidP="001E6154">
      <w:pPr>
        <w:pStyle w:val="NormalWeb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</w:rPr>
      </w:pPr>
    </w:p>
    <w:p w:rsidR="00D95AF7" w:rsidRPr="0092541B" w:rsidRDefault="007E48D2" w:rsidP="00D95AF7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</w:rPr>
      </w:pPr>
      <w:proofErr w:type="gramStart"/>
      <w:r w:rsidRPr="0092541B">
        <w:rPr>
          <w:rFonts w:ascii="Bookman Old Style" w:hAnsi="Bookman Old Style"/>
          <w:b/>
        </w:rPr>
        <w:t>DSC  5.</w:t>
      </w:r>
      <w:r w:rsidR="004F1047">
        <w:rPr>
          <w:rFonts w:ascii="Bookman Old Style" w:hAnsi="Bookman Old Style"/>
          <w:b/>
        </w:rPr>
        <w:t>5</w:t>
      </w:r>
      <w:proofErr w:type="gramEnd"/>
      <w:r w:rsidRPr="0092541B">
        <w:rPr>
          <w:rFonts w:ascii="Bookman Old Style" w:hAnsi="Bookman Old Style"/>
          <w:b/>
        </w:rPr>
        <w:t xml:space="preserve"> ACCOUNTING FOR GOVERNMENT ENTITIES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2541B">
        <w:rPr>
          <w:rFonts w:ascii="Bookman Old Style" w:hAnsi="Bookman Old Style"/>
          <w:b/>
        </w:rPr>
        <w:t>Unit-I: General Principles</w:t>
      </w:r>
      <w:r w:rsidRPr="0092541B">
        <w:rPr>
          <w:rFonts w:ascii="Bookman Old Style" w:hAnsi="Bookman Old Style"/>
        </w:rPr>
        <w:t xml:space="preserve"> - Government Accounting System - Consolidated Fund of India - Comparison with Commercial Accounting system. 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2541B">
        <w:rPr>
          <w:rFonts w:ascii="Bookman Old Style" w:hAnsi="Bookman Old Style"/>
          <w:b/>
        </w:rPr>
        <w:t>Unit-II: Role of Comptroller and Auditor General of India</w:t>
      </w:r>
      <w:r w:rsidRPr="0092541B">
        <w:rPr>
          <w:rFonts w:ascii="Bookman Old Style" w:hAnsi="Bookman Old Style"/>
        </w:rPr>
        <w:t xml:space="preserve"> - Role of Public Accounts Committee, Review of Accounts - Civil and Commercial Entities.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2541B">
        <w:rPr>
          <w:rFonts w:ascii="Bookman Old Style" w:hAnsi="Bookman Old Style"/>
          <w:b/>
        </w:rPr>
        <w:t>Unit-III: Government Accounting Standards</w:t>
      </w:r>
      <w:r w:rsidRPr="0092541B">
        <w:rPr>
          <w:rFonts w:ascii="Bookman Old Style" w:hAnsi="Bookman Old Style"/>
        </w:rPr>
        <w:t xml:space="preserve"> issued by Government Accounting Standards Advisory Board (GASAB) - Adoption and Review.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2541B">
        <w:rPr>
          <w:rFonts w:ascii="Bookman Old Style" w:hAnsi="Bookman Old Style"/>
          <w:b/>
        </w:rPr>
        <w:t>Unit-IV: Financial Reporting</w:t>
      </w:r>
      <w:r w:rsidRPr="0092541B">
        <w:rPr>
          <w:rFonts w:ascii="Bookman Old Style" w:hAnsi="Bookman Old Style"/>
        </w:rPr>
        <w:t xml:space="preserve"> in Public Sector Undertakings and Government Companies.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92541B">
        <w:rPr>
          <w:rFonts w:ascii="Bookman Old Style" w:hAnsi="Bookman Old Style"/>
          <w:b/>
        </w:rPr>
        <w:t>Unit-V: Case Studies</w:t>
      </w:r>
      <w:r w:rsidRPr="0092541B">
        <w:rPr>
          <w:rFonts w:ascii="Bookman Old Style" w:hAnsi="Bookman Old Style"/>
        </w:rPr>
        <w:t>: Railway Accounts - Defense Accounts - CPWD Accounts, etc.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92541B">
        <w:rPr>
          <w:rFonts w:ascii="Bookman Old Style" w:hAnsi="Bookman Old Style"/>
          <w:b/>
        </w:rPr>
        <w:t>References:</w:t>
      </w: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Jain, S.P., </w:t>
      </w:r>
      <w:proofErr w:type="spellStart"/>
      <w:r w:rsidRPr="0092541B">
        <w:rPr>
          <w:rFonts w:ascii="Bookman Old Style" w:hAnsi="Bookman Old Style"/>
          <w:sz w:val="24"/>
          <w:szCs w:val="24"/>
        </w:rPr>
        <w:t>Narang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, K.L., Advanced Accountancy (Vol-1), </w:t>
      </w:r>
      <w:proofErr w:type="spellStart"/>
      <w:r w:rsidRPr="0092541B">
        <w:rPr>
          <w:rFonts w:ascii="Bookman Old Style" w:hAnsi="Bookman Old Style"/>
          <w:sz w:val="24"/>
          <w:szCs w:val="24"/>
        </w:rPr>
        <w:t>Kalyani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 Publishers, Ludhiana. </w:t>
      </w:r>
    </w:p>
    <w:p w:rsidR="00D95AF7" w:rsidRPr="0092541B" w:rsidRDefault="00D95AF7" w:rsidP="00866939">
      <w:pPr>
        <w:pStyle w:val="ListParagraph"/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Paul Marcus Fischer, William James Taylor &amp; Rita </w:t>
      </w:r>
      <w:proofErr w:type="spellStart"/>
      <w:r w:rsidRPr="0092541B">
        <w:rPr>
          <w:rFonts w:ascii="Bookman Old Style" w:hAnsi="Bookman Old Style"/>
          <w:sz w:val="24"/>
          <w:szCs w:val="24"/>
        </w:rPr>
        <w:t>Hartung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 Cheng, Advanced Accounting, </w:t>
      </w:r>
      <w:proofErr w:type="spellStart"/>
      <w:r w:rsidRPr="0092541B">
        <w:rPr>
          <w:rFonts w:ascii="Bookman Old Style" w:hAnsi="Bookman Old Style"/>
          <w:sz w:val="24"/>
          <w:szCs w:val="24"/>
        </w:rPr>
        <w:t>Cengage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 Learning, USA.</w:t>
      </w:r>
    </w:p>
    <w:p w:rsidR="00D95AF7" w:rsidRPr="0092541B" w:rsidRDefault="00D95AF7" w:rsidP="00866939">
      <w:pPr>
        <w:pStyle w:val="ListParagraph"/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K.K. </w:t>
      </w:r>
      <w:proofErr w:type="spellStart"/>
      <w:r w:rsidRPr="0092541B">
        <w:rPr>
          <w:rFonts w:ascii="Bookman Old Style" w:hAnsi="Bookman Old Style"/>
          <w:sz w:val="24"/>
          <w:szCs w:val="24"/>
        </w:rPr>
        <w:t>Bhardwaj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, Public Accounting and </w:t>
      </w:r>
      <w:proofErr w:type="gramStart"/>
      <w:r w:rsidRPr="0092541B">
        <w:rPr>
          <w:rFonts w:ascii="Bookman Old Style" w:hAnsi="Bookman Old Style"/>
          <w:sz w:val="24"/>
          <w:szCs w:val="24"/>
        </w:rPr>
        <w:t>Auditing</w:t>
      </w:r>
      <w:proofErr w:type="gramEnd"/>
      <w:r w:rsidRPr="0092541B">
        <w:rPr>
          <w:rFonts w:ascii="Bookman Old Style" w:hAnsi="Bookman Old Style"/>
          <w:sz w:val="24"/>
          <w:szCs w:val="24"/>
        </w:rPr>
        <w:t xml:space="preserve"> (office of the Comptroller and Auditor General of India), </w:t>
      </w:r>
      <w:proofErr w:type="spellStart"/>
      <w:r w:rsidRPr="0092541B">
        <w:rPr>
          <w:rFonts w:ascii="Bookman Old Style" w:hAnsi="Bookman Old Style"/>
          <w:sz w:val="24"/>
          <w:szCs w:val="24"/>
        </w:rPr>
        <w:t>Mittal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 Publications, New Delhi.</w:t>
      </w:r>
    </w:p>
    <w:p w:rsidR="00D95AF7" w:rsidRPr="0092541B" w:rsidRDefault="00D95AF7" w:rsidP="00866939">
      <w:pPr>
        <w:pStyle w:val="ListParagraph"/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Mortimer A. </w:t>
      </w:r>
      <w:proofErr w:type="spellStart"/>
      <w:r w:rsidRPr="0092541B">
        <w:rPr>
          <w:rFonts w:ascii="Bookman Old Style" w:hAnsi="Bookman Old Style"/>
          <w:sz w:val="24"/>
          <w:szCs w:val="24"/>
        </w:rPr>
        <w:t>Dittenhofer</w:t>
      </w:r>
      <w:proofErr w:type="spellEnd"/>
      <w:r w:rsidRPr="0092541B">
        <w:rPr>
          <w:rFonts w:ascii="Bookman Old Style" w:hAnsi="Bookman Old Style"/>
          <w:sz w:val="24"/>
          <w:szCs w:val="24"/>
        </w:rPr>
        <w:t>, Applying Government Accounting Principles, LexisNexis.</w:t>
      </w:r>
    </w:p>
    <w:p w:rsidR="00D95AF7" w:rsidRPr="0092541B" w:rsidRDefault="00D95AF7" w:rsidP="00866939">
      <w:pPr>
        <w:pStyle w:val="ListParagraph"/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Warren </w:t>
      </w:r>
      <w:proofErr w:type="spellStart"/>
      <w:r w:rsidRPr="0092541B">
        <w:rPr>
          <w:rFonts w:ascii="Bookman Old Style" w:hAnsi="Bookman Old Style"/>
          <w:sz w:val="24"/>
          <w:szCs w:val="24"/>
        </w:rPr>
        <w:t>Ruppel</w:t>
      </w:r>
      <w:proofErr w:type="spellEnd"/>
      <w:r w:rsidRPr="0092541B">
        <w:rPr>
          <w:rFonts w:ascii="Bookman Old Style" w:hAnsi="Bookman Old Style"/>
          <w:sz w:val="24"/>
          <w:szCs w:val="24"/>
        </w:rPr>
        <w:t>, Governmental Accounting: Made Easy, John Wiley &amp; Sons, INC., USA.</w:t>
      </w:r>
    </w:p>
    <w:p w:rsidR="00D95AF7" w:rsidRPr="0092541B" w:rsidRDefault="00D95AF7" w:rsidP="00866939">
      <w:pPr>
        <w:pStyle w:val="ListParagraph"/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92541B">
        <w:rPr>
          <w:rFonts w:ascii="Bookman Old Style" w:hAnsi="Bookman Old Style"/>
          <w:sz w:val="24"/>
          <w:szCs w:val="24"/>
        </w:rPr>
        <w:t>Mukherjee</w:t>
      </w:r>
      <w:proofErr w:type="spellEnd"/>
      <w:r w:rsidRPr="0092541B">
        <w:rPr>
          <w:rFonts w:ascii="Bookman Old Style" w:hAnsi="Bookman Old Style"/>
          <w:sz w:val="24"/>
          <w:szCs w:val="24"/>
        </w:rPr>
        <w:t xml:space="preserve"> &amp; M. </w:t>
      </w:r>
      <w:proofErr w:type="spellStart"/>
      <w:r w:rsidRPr="0092541B">
        <w:rPr>
          <w:rFonts w:ascii="Bookman Old Style" w:hAnsi="Bookman Old Style"/>
          <w:sz w:val="24"/>
          <w:szCs w:val="24"/>
        </w:rPr>
        <w:t>Hanif</w:t>
      </w:r>
      <w:proofErr w:type="spellEnd"/>
      <w:r w:rsidRPr="0092541B">
        <w:rPr>
          <w:rFonts w:ascii="Bookman Old Style" w:hAnsi="Bookman Old Style"/>
          <w:sz w:val="24"/>
          <w:szCs w:val="24"/>
        </w:rPr>
        <w:t>, Modern Accountancy, Tata McGraw Hill Publishing Company Limited, New Delhi.</w:t>
      </w:r>
    </w:p>
    <w:p w:rsidR="00D95AF7" w:rsidRPr="0092541B" w:rsidRDefault="00D95AF7" w:rsidP="00866939">
      <w:pPr>
        <w:pStyle w:val="ListParagraph"/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ListParagraph"/>
        <w:numPr>
          <w:ilvl w:val="0"/>
          <w:numId w:val="1"/>
        </w:numPr>
        <w:spacing w:after="0" w:line="240" w:lineRule="auto"/>
        <w:ind w:left="446"/>
        <w:jc w:val="both"/>
        <w:rPr>
          <w:rFonts w:ascii="Bookman Old Style" w:hAnsi="Bookman Old Style"/>
          <w:sz w:val="24"/>
          <w:szCs w:val="24"/>
        </w:rPr>
      </w:pPr>
      <w:r w:rsidRPr="0092541B">
        <w:rPr>
          <w:rFonts w:ascii="Bookman Old Style" w:hAnsi="Bookman Old Style"/>
          <w:sz w:val="24"/>
          <w:szCs w:val="24"/>
        </w:rPr>
        <w:t xml:space="preserve">K. B. </w:t>
      </w:r>
      <w:proofErr w:type="spellStart"/>
      <w:r w:rsidRPr="0092541B">
        <w:rPr>
          <w:rFonts w:ascii="Bookman Old Style" w:hAnsi="Bookman Old Style"/>
          <w:sz w:val="24"/>
          <w:szCs w:val="24"/>
        </w:rPr>
        <w:t>Verma</w:t>
      </w:r>
      <w:proofErr w:type="spellEnd"/>
      <w:r w:rsidRPr="0092541B">
        <w:rPr>
          <w:rFonts w:ascii="Bookman Old Style" w:hAnsi="Bookman Old Style"/>
          <w:sz w:val="24"/>
          <w:szCs w:val="24"/>
        </w:rPr>
        <w:t>, Reading in Indian Railway Finance, Academic Foundation, Delhi.</w:t>
      </w:r>
    </w:p>
    <w:p w:rsidR="00D95AF7" w:rsidRPr="0092541B" w:rsidRDefault="00D95AF7" w:rsidP="0086693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95AF7" w:rsidRPr="0092541B" w:rsidRDefault="00D95AF7" w:rsidP="00866939">
      <w:pPr>
        <w:pStyle w:val="Normal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673AE9" w:rsidRPr="0092541B" w:rsidRDefault="00673AE9" w:rsidP="00866939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92541B"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B24650" w:rsidRDefault="00B24650" w:rsidP="00B24650">
      <w:pPr>
        <w:jc w:val="right"/>
        <w:rPr>
          <w:rFonts w:ascii="Bookman Old Style" w:hAnsi="Bookman Old Style" w:cs="Times New Roman"/>
          <w:b/>
          <w:bCs/>
          <w:i/>
          <w:sz w:val="36"/>
          <w:szCs w:val="36"/>
        </w:rPr>
      </w:pPr>
      <w:r>
        <w:rPr>
          <w:rFonts w:ascii="Bookman Old Style" w:hAnsi="Bookman Old Style" w:cs="Times New Roman"/>
          <w:b/>
          <w:bCs/>
          <w:i/>
          <w:sz w:val="36"/>
          <w:szCs w:val="36"/>
        </w:rPr>
        <w:lastRenderedPageBreak/>
        <w:t>1-5-102</w:t>
      </w:r>
    </w:p>
    <w:p w:rsidR="0023075C" w:rsidRPr="0092541B" w:rsidRDefault="0023075C" w:rsidP="006D5862">
      <w:pPr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 w:rsidRPr="0092541B">
        <w:rPr>
          <w:rFonts w:ascii="Bookman Old Style" w:hAnsi="Bookman Old Style" w:cs="Times New Roman"/>
          <w:b/>
          <w:bCs/>
          <w:i/>
          <w:sz w:val="36"/>
          <w:szCs w:val="36"/>
        </w:rPr>
        <w:t>ACCOUNTING</w:t>
      </w:r>
    </w:p>
    <w:p w:rsidR="00673AE9" w:rsidRPr="0092541B" w:rsidRDefault="006B4B4E" w:rsidP="006D5862">
      <w:pPr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 w:rsidRPr="0092541B">
        <w:rPr>
          <w:rFonts w:ascii="Bookman Old Style" w:hAnsi="Bookman Old Style" w:cs="Times New Roman"/>
          <w:b/>
          <w:bCs/>
          <w:sz w:val="36"/>
          <w:szCs w:val="36"/>
        </w:rPr>
        <w:t>5.</w:t>
      </w:r>
      <w:r w:rsidR="004F1047">
        <w:rPr>
          <w:rFonts w:ascii="Bookman Old Style" w:hAnsi="Bookman Old Style" w:cs="Times New Roman"/>
          <w:b/>
          <w:bCs/>
          <w:sz w:val="36"/>
          <w:szCs w:val="36"/>
        </w:rPr>
        <w:t>3</w:t>
      </w:r>
      <w:r w:rsidRPr="0092541B">
        <w:rPr>
          <w:rFonts w:ascii="Bookman Old Style" w:hAnsi="Bookman Old Style" w:cs="Times New Roman"/>
          <w:b/>
          <w:bCs/>
          <w:sz w:val="36"/>
          <w:szCs w:val="36"/>
        </w:rPr>
        <w:t xml:space="preserve"> </w:t>
      </w:r>
      <w:r w:rsidR="0023075C" w:rsidRPr="0092541B">
        <w:rPr>
          <w:rFonts w:ascii="Bookman Old Style" w:hAnsi="Bookman Old Style" w:cs="Times New Roman"/>
          <w:b/>
          <w:bCs/>
          <w:sz w:val="36"/>
          <w:szCs w:val="36"/>
        </w:rPr>
        <w:t>ADVANCED CORPORATE ACCOUNTING</w:t>
      </w:r>
    </w:p>
    <w:p w:rsidR="00673AE9" w:rsidRPr="0092541B" w:rsidRDefault="00673AE9" w:rsidP="00866939">
      <w:pPr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673AE9" w:rsidRDefault="00673AE9" w:rsidP="00BF135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Unit </w:t>
      </w:r>
      <w:proofErr w:type="gramStart"/>
      <w:r w:rsidRPr="0092541B">
        <w:rPr>
          <w:rFonts w:ascii="Bookman Old Style" w:hAnsi="Bookman Old Style" w:cs="Times New Roman"/>
          <w:b/>
          <w:bCs/>
          <w:sz w:val="24"/>
          <w:szCs w:val="24"/>
        </w:rPr>
        <w:t>I :</w:t>
      </w:r>
      <w:proofErr w:type="gramEnd"/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</w:t>
      </w:r>
      <w:r w:rsidRPr="0092541B">
        <w:rPr>
          <w:rFonts w:ascii="Bookman Old Style" w:hAnsi="Bookman Old Style" w:cs="Times New Roman"/>
          <w:b/>
          <w:bCs/>
          <w:sz w:val="24"/>
          <w:szCs w:val="24"/>
        </w:rPr>
        <w:t>Accounting standards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– Importance of accounting standards in the procedure of accounting – List of Indian accounting standards – objectives of accounting standards Board and scope of accounting standards. – Accounting Standard 1</w:t>
      </w:r>
      <w:proofErr w:type="gramStart"/>
      <w:r w:rsidRPr="0092541B">
        <w:rPr>
          <w:rFonts w:ascii="Bookman Old Style" w:hAnsi="Bookman Old Style" w:cs="Times New Roman"/>
          <w:sz w:val="24"/>
          <w:szCs w:val="24"/>
        </w:rPr>
        <w:t>:Disclosure</w:t>
      </w:r>
      <w:proofErr w:type="gramEnd"/>
      <w:r w:rsidRPr="0092541B">
        <w:rPr>
          <w:rFonts w:ascii="Bookman Old Style" w:hAnsi="Bookman Old Style" w:cs="Times New Roman"/>
          <w:sz w:val="24"/>
          <w:szCs w:val="24"/>
        </w:rPr>
        <w:t xml:space="preserve"> of Accounting policies Accounting Standard 9: Revenue Recognition – Accounting standard 10 : Fixed assets (Theory only)</w:t>
      </w:r>
    </w:p>
    <w:p w:rsidR="005E6CA1" w:rsidRPr="0092541B" w:rsidRDefault="005E6CA1" w:rsidP="005E6CA1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73AE9" w:rsidRDefault="00673AE9" w:rsidP="00BF135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Unit II – </w:t>
      </w:r>
      <w:proofErr w:type="gramStart"/>
      <w:r w:rsidRPr="0092541B">
        <w:rPr>
          <w:rFonts w:ascii="Bookman Old Style" w:hAnsi="Bookman Old Style" w:cs="Times New Roman"/>
          <w:b/>
          <w:bCs/>
          <w:sz w:val="24"/>
          <w:szCs w:val="24"/>
        </w:rPr>
        <w:t>Amalgamation :</w:t>
      </w:r>
      <w:proofErr w:type="gramEnd"/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meaning – calculation of purchase consideration – Methods – Accounting procedure in preparation of  journal entries and Balance sheet (simple problems only)</w:t>
      </w:r>
    </w:p>
    <w:p w:rsidR="005E6CA1" w:rsidRPr="0092541B" w:rsidRDefault="005E6CA1" w:rsidP="005E6CA1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73AE9" w:rsidRDefault="00673AE9" w:rsidP="00BF135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Unit III – Internal Reconstruction - 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Necessity of internal Reconstruction – Importance – Procedure for reducing share capital – Journal entries and preparation of Revised Balance sheet.</w:t>
      </w:r>
    </w:p>
    <w:p w:rsidR="005E6CA1" w:rsidRPr="0092541B" w:rsidRDefault="005E6CA1" w:rsidP="005E6CA1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73AE9" w:rsidRDefault="00673AE9" w:rsidP="00BF135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Unit </w:t>
      </w:r>
      <w:proofErr w:type="gramStart"/>
      <w:r w:rsidRPr="0092541B">
        <w:rPr>
          <w:rFonts w:ascii="Bookman Old Style" w:hAnsi="Bookman Old Style" w:cs="Times New Roman"/>
          <w:b/>
          <w:bCs/>
          <w:sz w:val="24"/>
          <w:szCs w:val="24"/>
        </w:rPr>
        <w:t>IV :</w:t>
      </w:r>
      <w:proofErr w:type="gramEnd"/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 Liquidation : 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Meaning and modes of Liquidation in corporate accounts – Voluntary Liquidation – Procedure for preparation of Liquidator’s statement of account – calculation of liquidator’s remuneration (Simple problems)</w:t>
      </w:r>
    </w:p>
    <w:p w:rsidR="005E6CA1" w:rsidRPr="0092541B" w:rsidRDefault="005E6CA1" w:rsidP="005E6CA1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73AE9" w:rsidRPr="0092541B" w:rsidRDefault="00673AE9" w:rsidP="00BF135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cs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Unit V : Holding companies : 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Definition of Holding Company and subsidiary company – Preparation of consolidated Balance Sheet  of  Holding company having ONE subsidiary company only -  with common </w:t>
      </w:r>
      <w:r w:rsidRPr="0092541B">
        <w:rPr>
          <w:rFonts w:ascii="Bookman Old Style" w:hAnsi="Bookman Old Style" w:cs="Times New Roman"/>
          <w:sz w:val="24"/>
          <w:szCs w:val="24"/>
        </w:rPr>
        <w:lastRenderedPageBreak/>
        <w:t>transactions, Minorities Interest, Capital Reserve, Revenue Profits Prior and post acquisition of shares by holding companies (Simple Problems)</w:t>
      </w:r>
    </w:p>
    <w:p w:rsidR="00802867" w:rsidRPr="0071192C" w:rsidRDefault="00802867" w:rsidP="00802867">
      <w:pPr>
        <w:pStyle w:val="Title"/>
        <w:rPr>
          <w:sz w:val="32"/>
        </w:rPr>
      </w:pPr>
      <w:r w:rsidRPr="0071192C">
        <w:rPr>
          <w:sz w:val="32"/>
        </w:rPr>
        <w:t>Sri Venkateswara University</w:t>
      </w:r>
    </w:p>
    <w:p w:rsidR="00802867" w:rsidRPr="0071192C" w:rsidRDefault="00802867" w:rsidP="00802867">
      <w:pPr>
        <w:pStyle w:val="Title"/>
        <w:rPr>
          <w:sz w:val="32"/>
        </w:rPr>
      </w:pPr>
      <w:r w:rsidRPr="0071192C">
        <w:rPr>
          <w:sz w:val="32"/>
        </w:rPr>
        <w:t xml:space="preserve">Model </w:t>
      </w:r>
      <w:r>
        <w:rPr>
          <w:sz w:val="32"/>
        </w:rPr>
        <w:t xml:space="preserve">Question </w:t>
      </w:r>
      <w:r w:rsidRPr="0071192C">
        <w:rPr>
          <w:sz w:val="32"/>
        </w:rPr>
        <w:t>Paper</w:t>
      </w:r>
    </w:p>
    <w:p w:rsidR="00802867" w:rsidRPr="0071192C" w:rsidRDefault="00802867" w:rsidP="0080286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192C">
        <w:rPr>
          <w:rFonts w:ascii="Times New Roman" w:hAnsi="Times New Roman"/>
          <w:b/>
          <w:sz w:val="28"/>
          <w:szCs w:val="24"/>
        </w:rPr>
        <w:t xml:space="preserve">III </w:t>
      </w:r>
      <w:proofErr w:type="gramStart"/>
      <w:r w:rsidRPr="0071192C">
        <w:rPr>
          <w:rFonts w:ascii="Times New Roman" w:hAnsi="Times New Roman"/>
          <w:b/>
          <w:sz w:val="28"/>
          <w:szCs w:val="24"/>
        </w:rPr>
        <w:t xml:space="preserve">B.Com </w:t>
      </w:r>
      <w:r>
        <w:rPr>
          <w:rFonts w:ascii="Times New Roman" w:hAnsi="Times New Roman"/>
          <w:b/>
          <w:sz w:val="28"/>
          <w:szCs w:val="24"/>
        </w:rPr>
        <w:t xml:space="preserve"> /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B.A</w:t>
      </w:r>
    </w:p>
    <w:p w:rsidR="00802867" w:rsidRDefault="00802867" w:rsidP="0080286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192C">
        <w:rPr>
          <w:rFonts w:ascii="Times New Roman" w:hAnsi="Times New Roman"/>
          <w:b/>
          <w:sz w:val="28"/>
          <w:szCs w:val="24"/>
        </w:rPr>
        <w:t xml:space="preserve">Semester – V, November, 2017 </w:t>
      </w:r>
    </w:p>
    <w:p w:rsidR="00802867" w:rsidRPr="005739B9" w:rsidRDefault="00802867" w:rsidP="0080286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739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DSC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</w:t>
      </w:r>
      <w:r w:rsidRPr="005739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 5.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</w:t>
      </w:r>
      <w:r w:rsidRPr="005739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Advanced Corporate Accounting</w:t>
      </w:r>
      <w:r w:rsidRPr="005739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802867" w:rsidRPr="00CB19DD" w:rsidRDefault="00802867" w:rsidP="00802867">
      <w:pPr>
        <w:spacing w:after="0" w:line="240" w:lineRule="auto"/>
        <w:rPr>
          <w:rFonts w:ascii="Times New Roman" w:hAnsi="Times New Roman"/>
        </w:rPr>
      </w:pPr>
      <w:r w:rsidRPr="00CB19DD">
        <w:rPr>
          <w:rFonts w:ascii="Times New Roman" w:hAnsi="Times New Roman"/>
        </w:rPr>
        <w:t>Time: 3 Hours</w:t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  <w:t xml:space="preserve">         </w:t>
      </w:r>
      <w:r w:rsidRPr="00CB19DD">
        <w:rPr>
          <w:rFonts w:ascii="Times New Roman" w:hAnsi="Times New Roman"/>
        </w:rPr>
        <w:tab/>
        <w:t xml:space="preserve">         Max. Marks: 75</w:t>
      </w:r>
    </w:p>
    <w:p w:rsidR="00802867" w:rsidRPr="00CB19DD" w:rsidRDefault="00802867" w:rsidP="00802867">
      <w:pPr>
        <w:spacing w:after="0" w:line="240" w:lineRule="auto"/>
        <w:jc w:val="center"/>
        <w:rPr>
          <w:rFonts w:ascii="Times New Roman" w:hAnsi="Times New Roman"/>
        </w:rPr>
      </w:pPr>
      <w:r w:rsidRPr="00CB19DD">
        <w:rPr>
          <w:rFonts w:ascii="Times New Roman" w:hAnsi="Times New Roman"/>
          <w:b/>
        </w:rPr>
        <w:t xml:space="preserve">Section A </w:t>
      </w:r>
    </w:p>
    <w:p w:rsidR="00802867" w:rsidRPr="00CB19DD" w:rsidRDefault="00802867" w:rsidP="00802867">
      <w:pPr>
        <w:spacing w:after="0" w:line="240" w:lineRule="auto"/>
        <w:rPr>
          <w:rFonts w:ascii="Times New Roman" w:hAnsi="Times New Roman"/>
        </w:rPr>
      </w:pPr>
      <w:r w:rsidRPr="00CB19DD">
        <w:rPr>
          <w:rFonts w:ascii="Times New Roman" w:hAnsi="Times New Roman"/>
        </w:rPr>
        <w:t xml:space="preserve">                                        Answer any </w:t>
      </w:r>
      <w:r w:rsidRPr="00CB19DD">
        <w:rPr>
          <w:rFonts w:ascii="Times New Roman" w:hAnsi="Times New Roman"/>
          <w:b/>
        </w:rPr>
        <w:t>Five</w:t>
      </w:r>
      <w:r w:rsidRPr="00CB19DD">
        <w:rPr>
          <w:rFonts w:ascii="Times New Roman" w:hAnsi="Times New Roman"/>
        </w:rPr>
        <w:t xml:space="preserve"> of the following Questions</w:t>
      </w:r>
    </w:p>
    <w:p w:rsidR="00802867" w:rsidRPr="00CB19DD" w:rsidRDefault="00802867" w:rsidP="00802867">
      <w:pPr>
        <w:spacing w:after="0" w:line="240" w:lineRule="auto"/>
        <w:rPr>
          <w:rFonts w:ascii="Times New Roman" w:hAnsi="Times New Roman"/>
          <w:b/>
        </w:rPr>
      </w:pP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</w:rPr>
        <w:tab/>
      </w:r>
      <w:r w:rsidRPr="00CB19DD">
        <w:rPr>
          <w:rFonts w:ascii="Times New Roman" w:hAnsi="Times New Roman"/>
          <w:b/>
        </w:rPr>
        <w:t xml:space="preserve">        (5 x 3= 15 Marks)</w:t>
      </w:r>
    </w:p>
    <w:p w:rsidR="00802867" w:rsidRPr="009C792E" w:rsidRDefault="00802867" w:rsidP="008028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772A">
        <w:rPr>
          <w:rFonts w:ascii="Times New Roman" w:hAnsi="Times New Roman"/>
          <w:b/>
          <w:bCs/>
          <w:sz w:val="24"/>
          <w:szCs w:val="24"/>
          <w:u w:val="single"/>
        </w:rPr>
        <w:t>Section-A</w:t>
      </w:r>
      <w:r w:rsidRPr="009C792E">
        <w:rPr>
          <w:rFonts w:ascii="Times New Roman" w:hAnsi="Times New Roman"/>
          <w:b/>
          <w:bCs/>
          <w:sz w:val="24"/>
          <w:szCs w:val="24"/>
        </w:rPr>
        <w:tab/>
      </w:r>
    </w:p>
    <w:p w:rsidR="00802867" w:rsidRPr="009C792E" w:rsidRDefault="00802867" w:rsidP="00802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2E">
        <w:rPr>
          <w:rFonts w:ascii="Times New Roman" w:hAnsi="Times New Roman" w:cs="Times New Roman"/>
          <w:sz w:val="24"/>
          <w:szCs w:val="24"/>
        </w:rPr>
        <w:t>Answer any five of the following questions.</w:t>
      </w:r>
    </w:p>
    <w:p w:rsidR="00802867" w:rsidRPr="00F7772A" w:rsidRDefault="00802867" w:rsidP="00802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Define Accounting standards</w:t>
      </w:r>
      <w:r w:rsidRPr="00F7772A">
        <w:rPr>
          <w:rFonts w:ascii="Times New Roman" w:hAnsi="Times New Roman" w:cs="Times New Roman"/>
          <w:sz w:val="24"/>
          <w:szCs w:val="24"/>
        </w:rPr>
        <w:tab/>
      </w:r>
      <w:r w:rsidRPr="00F77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772A">
        <w:rPr>
          <w:rFonts w:ascii="Times New Roman" w:hAnsi="Times New Roman" w:cs="Times New Roman"/>
          <w:sz w:val="24"/>
          <w:szCs w:val="24"/>
        </w:rPr>
        <w:t>e)Internal Reconstruction</w:t>
      </w:r>
    </w:p>
    <w:p w:rsidR="00802867" w:rsidRPr="00F7772A" w:rsidRDefault="00802867" w:rsidP="00802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Going concern concept</w:t>
      </w:r>
      <w:r w:rsidRPr="00F7772A">
        <w:rPr>
          <w:rFonts w:ascii="Times New Roman" w:hAnsi="Times New Roman" w:cs="Times New Roman"/>
          <w:sz w:val="24"/>
          <w:szCs w:val="24"/>
        </w:rPr>
        <w:tab/>
      </w:r>
      <w:r w:rsidRPr="00F7772A">
        <w:rPr>
          <w:rFonts w:ascii="Times New Roman" w:hAnsi="Times New Roman" w:cs="Times New Roman"/>
          <w:sz w:val="24"/>
          <w:szCs w:val="24"/>
        </w:rPr>
        <w:tab/>
      </w:r>
      <w:r w:rsidRPr="00F7772A">
        <w:rPr>
          <w:rFonts w:ascii="Times New Roman" w:hAnsi="Times New Roman" w:cs="Times New Roman"/>
          <w:sz w:val="24"/>
          <w:szCs w:val="24"/>
        </w:rPr>
        <w:tab/>
        <w:t>f)Liquidators Remuneration</w:t>
      </w:r>
    </w:p>
    <w:p w:rsidR="00802867" w:rsidRPr="00F7772A" w:rsidRDefault="00802867" w:rsidP="00802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What do you mean by Amalgamation</w:t>
      </w:r>
      <w:r w:rsidRPr="00F7772A">
        <w:rPr>
          <w:rFonts w:ascii="Times New Roman" w:hAnsi="Times New Roman" w:cs="Times New Roman"/>
          <w:sz w:val="24"/>
          <w:szCs w:val="24"/>
        </w:rPr>
        <w:tab/>
        <w:t>g)Subsidiary company</w:t>
      </w:r>
    </w:p>
    <w:p w:rsidR="00802867" w:rsidRPr="00F7772A" w:rsidRDefault="00802867" w:rsidP="00802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Purchase consideration</w:t>
      </w:r>
      <w:r w:rsidRPr="00F7772A">
        <w:rPr>
          <w:rFonts w:ascii="Times New Roman" w:hAnsi="Times New Roman" w:cs="Times New Roman"/>
          <w:sz w:val="24"/>
          <w:szCs w:val="24"/>
        </w:rPr>
        <w:tab/>
      </w:r>
      <w:r w:rsidRPr="00F7772A">
        <w:rPr>
          <w:rFonts w:ascii="Times New Roman" w:hAnsi="Times New Roman" w:cs="Times New Roman"/>
          <w:sz w:val="24"/>
          <w:szCs w:val="24"/>
        </w:rPr>
        <w:tab/>
      </w:r>
      <w:r w:rsidRPr="00F7772A">
        <w:rPr>
          <w:rFonts w:ascii="Times New Roman" w:hAnsi="Times New Roman" w:cs="Times New Roman"/>
          <w:sz w:val="24"/>
          <w:szCs w:val="24"/>
        </w:rPr>
        <w:tab/>
        <w:t>h) Minority share holders Interest</w:t>
      </w:r>
    </w:p>
    <w:p w:rsidR="00802867" w:rsidRPr="00F7772A" w:rsidRDefault="00802867" w:rsidP="0080286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7772A">
        <w:rPr>
          <w:rFonts w:ascii="Times New Roman" w:hAnsi="Times New Roman"/>
          <w:b/>
          <w:bCs/>
          <w:sz w:val="24"/>
          <w:szCs w:val="24"/>
          <w:u w:val="single"/>
        </w:rPr>
        <w:t>Section-B</w:t>
      </w:r>
    </w:p>
    <w:p w:rsidR="00802867" w:rsidRPr="009C792E" w:rsidRDefault="00802867" w:rsidP="00802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92E">
        <w:rPr>
          <w:rFonts w:ascii="Times New Roman" w:hAnsi="Times New Roman" w:cs="Times New Roman"/>
          <w:sz w:val="24"/>
          <w:szCs w:val="24"/>
        </w:rPr>
        <w:t xml:space="preserve">Answer one </w:t>
      </w:r>
      <w:proofErr w:type="gramStart"/>
      <w:r w:rsidRPr="009C792E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9C792E">
        <w:rPr>
          <w:rFonts w:ascii="Times New Roman" w:hAnsi="Times New Roman" w:cs="Times New Roman"/>
          <w:sz w:val="24"/>
          <w:szCs w:val="24"/>
        </w:rPr>
        <w:t xml:space="preserve"> from each unit.</w:t>
      </w: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2A">
        <w:rPr>
          <w:rFonts w:ascii="Times New Roman" w:hAnsi="Times New Roman" w:cs="Times New Roman"/>
          <w:b/>
          <w:bCs/>
          <w:sz w:val="24"/>
          <w:szCs w:val="24"/>
        </w:rPr>
        <w:t>Unit-1</w:t>
      </w:r>
    </w:p>
    <w:p w:rsidR="00802867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62E53">
        <w:rPr>
          <w:rFonts w:ascii="Times New Roman" w:hAnsi="Times New Roman"/>
          <w:sz w:val="24"/>
          <w:szCs w:val="24"/>
        </w:rPr>
        <w:t xml:space="preserve">2) Explain the importance / Objective of accounting standards? Name any 5 Accounting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02867" w:rsidRPr="00933EF7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33E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EF7">
        <w:rPr>
          <w:rFonts w:ascii="Times New Roman" w:hAnsi="Times New Roman"/>
          <w:sz w:val="24"/>
          <w:szCs w:val="24"/>
        </w:rPr>
        <w:t>Standards?</w:t>
      </w:r>
      <w:proofErr w:type="gramEnd"/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(Or)</w:t>
      </w:r>
    </w:p>
    <w:p w:rsidR="00802867" w:rsidRPr="00B62E53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62E53">
        <w:rPr>
          <w:rFonts w:ascii="Times New Roman" w:hAnsi="Times New Roman"/>
          <w:sz w:val="24"/>
          <w:szCs w:val="24"/>
        </w:rPr>
        <w:t xml:space="preserve">3) What is meant by Accounting concepts and </w:t>
      </w:r>
      <w:proofErr w:type="gramStart"/>
      <w:r w:rsidRPr="00B62E53">
        <w:rPr>
          <w:rFonts w:ascii="Times New Roman" w:hAnsi="Times New Roman"/>
          <w:sz w:val="24"/>
          <w:szCs w:val="24"/>
        </w:rPr>
        <w:t>conve</w:t>
      </w:r>
      <w:r>
        <w:rPr>
          <w:rFonts w:ascii="Times New Roman" w:hAnsi="Times New Roman"/>
          <w:sz w:val="24"/>
          <w:szCs w:val="24"/>
        </w:rPr>
        <w:t xml:space="preserve">ntions </w:t>
      </w:r>
      <w:r w:rsidRPr="00B62E53">
        <w:rPr>
          <w:rFonts w:ascii="Times New Roman" w:hAnsi="Times New Roman"/>
          <w:sz w:val="24"/>
          <w:szCs w:val="24"/>
        </w:rPr>
        <w:t>?</w:t>
      </w:r>
      <w:proofErr w:type="gramEnd"/>
      <w:r w:rsidRPr="00B62E53">
        <w:rPr>
          <w:rFonts w:ascii="Times New Roman" w:hAnsi="Times New Roman"/>
          <w:sz w:val="24"/>
          <w:szCs w:val="24"/>
        </w:rPr>
        <w:t xml:space="preserve"> Explain any 5 concepts.</w:t>
      </w: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2A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802867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Godavari </w:t>
      </w:r>
      <w:proofErr w:type="gramStart"/>
      <w:r>
        <w:rPr>
          <w:rFonts w:ascii="Times New Roman" w:hAnsi="Times New Roman"/>
          <w:sz w:val="24"/>
          <w:szCs w:val="24"/>
        </w:rPr>
        <w:t>Ltd..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B62E53">
        <w:rPr>
          <w:rFonts w:ascii="Times New Roman" w:hAnsi="Times New Roman"/>
          <w:sz w:val="24"/>
          <w:szCs w:val="24"/>
        </w:rPr>
        <w:t>nd</w:t>
      </w:r>
      <w:proofErr w:type="gramEnd"/>
      <w:r w:rsidRPr="00B62E53">
        <w:rPr>
          <w:rFonts w:ascii="Times New Roman" w:hAnsi="Times New Roman"/>
          <w:sz w:val="24"/>
          <w:szCs w:val="24"/>
        </w:rPr>
        <w:t xml:space="preserve"> Krishna Ltd. decided to Amalgamate and A new company is formed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2E53">
        <w:rPr>
          <w:rFonts w:ascii="Times New Roman" w:hAnsi="Times New Roman"/>
          <w:sz w:val="24"/>
          <w:szCs w:val="24"/>
        </w:rPr>
        <w:t xml:space="preserve">in the name of Go-Krishna Ltd. </w:t>
      </w:r>
      <w:proofErr w:type="gramStart"/>
      <w:r w:rsidRPr="00B62E53">
        <w:rPr>
          <w:rFonts w:ascii="Times New Roman" w:hAnsi="Times New Roman"/>
          <w:sz w:val="24"/>
          <w:szCs w:val="24"/>
        </w:rPr>
        <w:t>The  new</w:t>
      </w:r>
      <w:proofErr w:type="gramEnd"/>
      <w:r w:rsidRPr="00B62E53">
        <w:rPr>
          <w:rFonts w:ascii="Times New Roman" w:hAnsi="Times New Roman"/>
          <w:sz w:val="24"/>
          <w:szCs w:val="24"/>
        </w:rPr>
        <w:t xml:space="preserve"> company is to take over both companies on 31-3-2017.</w:t>
      </w:r>
    </w:p>
    <w:p w:rsidR="00802867" w:rsidRPr="00B62E53" w:rsidRDefault="00802867" w:rsidP="00802867">
      <w:pPr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 The balance sheet of both companies as follows.</w:t>
      </w: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jc w:val="center"/>
        <w:tblInd w:w="1080" w:type="dxa"/>
        <w:tblLook w:val="04A0"/>
      </w:tblPr>
      <w:tblGrid>
        <w:gridCol w:w="2394"/>
        <w:gridCol w:w="1109"/>
        <w:gridCol w:w="1056"/>
        <w:gridCol w:w="2277"/>
        <w:gridCol w:w="1109"/>
        <w:gridCol w:w="1163"/>
      </w:tblGrid>
      <w:tr w:rsidR="00802867" w:rsidRPr="00F7772A" w:rsidTr="00CE09D9">
        <w:trPr>
          <w:jc w:val="center"/>
        </w:trPr>
        <w:tc>
          <w:tcPr>
            <w:tcW w:w="244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Liability </w:t>
            </w:r>
          </w:p>
        </w:tc>
        <w:tc>
          <w:tcPr>
            <w:tcW w:w="1024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Godavari Ltd.         Rs.</w:t>
            </w:r>
          </w:p>
        </w:tc>
        <w:tc>
          <w:tcPr>
            <w:tcW w:w="1046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Krishna Ltd.       Rs.</w:t>
            </w:r>
          </w:p>
        </w:tc>
        <w:tc>
          <w:tcPr>
            <w:tcW w:w="234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08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Godavari Ltd.         Rs.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Krishna Ltd.          Rs</w:t>
            </w:r>
          </w:p>
        </w:tc>
      </w:tr>
      <w:tr w:rsidR="00802867" w:rsidRPr="00F7772A" w:rsidTr="00CE09D9">
        <w:trPr>
          <w:jc w:val="center"/>
        </w:trPr>
        <w:tc>
          <w:tcPr>
            <w:tcW w:w="244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Share capital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Rs.10 fully paid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Reserve funds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Profit &amp; Loss a/c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div. </w:t>
            </w:r>
            <w:proofErr w:type="spellStart"/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Equalisation</w:t>
            </w:r>
            <w:proofErr w:type="spellEnd"/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 funds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Workman’s compensation fund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Sundry Creditors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  <w:r w:rsidRPr="00F777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046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1,20,000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4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Goodwill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Land &amp; </w:t>
            </w:r>
            <w:proofErr w:type="spellStart"/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Buildng</w:t>
            </w:r>
            <w:proofErr w:type="spellEnd"/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 &amp; Machinery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Patents &amp;Trade Marks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Sundry Debtors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Bills Receivable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1,90,000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2,55,000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52,500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802867" w:rsidRPr="00F7772A" w:rsidTr="00CE09D9">
        <w:trPr>
          <w:jc w:val="center"/>
        </w:trPr>
        <w:tc>
          <w:tcPr>
            <w:tcW w:w="244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9,00,000</w:t>
            </w:r>
          </w:p>
        </w:tc>
        <w:tc>
          <w:tcPr>
            <w:tcW w:w="1046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8,00,000</w:t>
            </w:r>
          </w:p>
        </w:tc>
        <w:tc>
          <w:tcPr>
            <w:tcW w:w="234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9,00,000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8,00,000</w:t>
            </w:r>
          </w:p>
        </w:tc>
      </w:tr>
    </w:tbl>
    <w:p w:rsidR="00802867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Show how the amount payable to each company is arrived at and prepare the 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amalgamated  Balance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sheet of Godavari, Krishna Ltd.. Assuming amalgamation is done in the nature of purchase.</w:t>
      </w: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(Or)</w:t>
      </w: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5) Following is the Balance sheet of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Venkatesh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Ltd. as on 31 March 2017</w:t>
      </w: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850"/>
        <w:gridCol w:w="1230"/>
        <w:gridCol w:w="2918"/>
        <w:gridCol w:w="1164"/>
      </w:tblGrid>
      <w:tr w:rsidR="00802867" w:rsidRPr="00F7772A" w:rsidTr="00CE09D9">
        <w:tc>
          <w:tcPr>
            <w:tcW w:w="298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Liabilities </w:t>
            </w:r>
          </w:p>
        </w:tc>
        <w:tc>
          <w:tcPr>
            <w:tcW w:w="1259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3061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18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802867" w:rsidRPr="00F7772A" w:rsidTr="00CE09D9">
        <w:tc>
          <w:tcPr>
            <w:tcW w:w="298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6,700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10,800</w:t>
            </w:r>
          </w:p>
        </w:tc>
        <w:tc>
          <w:tcPr>
            <w:tcW w:w="3061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Freehold Premises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Motor van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Bills receivable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8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12,800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13,200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5,400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18,700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802867" w:rsidRPr="00F7772A" w:rsidTr="00CE09D9">
        <w:tc>
          <w:tcPr>
            <w:tcW w:w="298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3061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</w:tbl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On the above date the entire business was taken over by 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Deva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Ltd..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The purchase consideration was paid as under.</w:t>
      </w:r>
    </w:p>
    <w:p w:rsidR="00802867" w:rsidRPr="00F7772A" w:rsidRDefault="00802867" w:rsidP="008028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3,000 fully paid  Rs.10 shares</w:t>
      </w:r>
    </w:p>
    <w:p w:rsidR="00802867" w:rsidRPr="00F7772A" w:rsidRDefault="00802867" w:rsidP="008028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The balance in cash</w:t>
      </w:r>
    </w:p>
    <w:p w:rsidR="00802867" w:rsidRPr="00F7772A" w:rsidRDefault="00802867" w:rsidP="00802867">
      <w:pPr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While recording the assets, the company valued the premises and stock at 10% and 20% above their book value respectively. Find out purchase consideration and pass necessary entries in the books of the Ding Dong Bell </w:t>
      </w:r>
      <w:proofErr w:type="gramStart"/>
      <w:r w:rsidRPr="00F7772A">
        <w:rPr>
          <w:rFonts w:ascii="Times New Roman" w:hAnsi="Times New Roman"/>
          <w:sz w:val="24"/>
          <w:szCs w:val="24"/>
        </w:rPr>
        <w:t>Ltd..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And show its Balance sheet after takeover of the business.</w:t>
      </w:r>
      <w:r w:rsidRPr="00F7772A">
        <w:rPr>
          <w:rFonts w:ascii="Times New Roman" w:hAnsi="Times New Roman"/>
          <w:sz w:val="24"/>
          <w:szCs w:val="24"/>
        </w:rPr>
        <w:br/>
      </w:r>
    </w:p>
    <w:p w:rsidR="00802867" w:rsidRPr="00F7772A" w:rsidRDefault="00802867" w:rsidP="00802867">
      <w:pPr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72A">
        <w:rPr>
          <w:rFonts w:ascii="Times New Roman" w:hAnsi="Times New Roman"/>
          <w:b/>
          <w:bCs/>
          <w:sz w:val="24"/>
          <w:szCs w:val="24"/>
        </w:rPr>
        <w:t>Unit-III</w:t>
      </w: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6) The following is the Balance sheet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Vikaash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72A">
        <w:rPr>
          <w:rFonts w:ascii="Times New Roman" w:hAnsi="Times New Roman" w:cs="Times New Roman"/>
          <w:sz w:val="24"/>
          <w:szCs w:val="24"/>
        </w:rPr>
        <w:t xml:space="preserve"> Ltd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F7772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at 31</w:t>
      </w:r>
      <w:r w:rsidRPr="00F777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772A">
        <w:rPr>
          <w:rFonts w:ascii="Times New Roman" w:hAnsi="Times New Roman" w:cs="Times New Roman"/>
          <w:sz w:val="24"/>
          <w:szCs w:val="24"/>
        </w:rPr>
        <w:t xml:space="preserve"> March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72A">
        <w:rPr>
          <w:rFonts w:ascii="Times New Roman" w:hAnsi="Times New Roman" w:cs="Times New Roman"/>
          <w:sz w:val="24"/>
          <w:szCs w:val="24"/>
        </w:rPr>
        <w:t>.</w:t>
      </w: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92" w:type="dxa"/>
        <w:jc w:val="center"/>
        <w:tblInd w:w="1080" w:type="dxa"/>
        <w:tblLook w:val="04A0"/>
      </w:tblPr>
      <w:tblGrid>
        <w:gridCol w:w="2898"/>
        <w:gridCol w:w="1458"/>
        <w:gridCol w:w="2952"/>
        <w:gridCol w:w="1284"/>
      </w:tblGrid>
      <w:tr w:rsidR="00802867" w:rsidRPr="00F7772A" w:rsidTr="00CE09D9">
        <w:trPr>
          <w:jc w:val="center"/>
        </w:trPr>
        <w:tc>
          <w:tcPr>
            <w:tcW w:w="289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Liabilities </w:t>
            </w:r>
          </w:p>
        </w:tc>
        <w:tc>
          <w:tcPr>
            <w:tcW w:w="145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95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284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802867" w:rsidRPr="00F7772A" w:rsidTr="00CE09D9">
        <w:trPr>
          <w:jc w:val="center"/>
        </w:trPr>
        <w:tc>
          <w:tcPr>
            <w:tcW w:w="289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Share Capital 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20,000 Equity shares of rs.10 each, fully paid up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10% Non-cumulative preference  shares of Rs.100 each fully paid up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8% Debentures 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trade creditors 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Creditors for Expenses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3,30,000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Patents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Inventories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Preliminary expenses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Profit and loss account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1,30,000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1,85,000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67" w:rsidRPr="00F7772A" w:rsidTr="00CE09D9">
        <w:trPr>
          <w:jc w:val="center"/>
        </w:trPr>
        <w:tc>
          <w:tcPr>
            <w:tcW w:w="289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7,00,000</w:t>
            </w:r>
          </w:p>
        </w:tc>
        <w:tc>
          <w:tcPr>
            <w:tcW w:w="2952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7,00,000</w:t>
            </w:r>
          </w:p>
        </w:tc>
      </w:tr>
    </w:tbl>
    <w:p w:rsidR="00802867" w:rsidRPr="00F7772A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F7772A">
        <w:rPr>
          <w:rFonts w:ascii="Times New Roman" w:hAnsi="Times New Roman"/>
          <w:sz w:val="24"/>
          <w:szCs w:val="24"/>
        </w:rPr>
        <w:t>With a view to reconstruct the company, it is proposed.</w:t>
      </w:r>
    </w:p>
    <w:p w:rsidR="00802867" w:rsidRPr="00F7772A" w:rsidRDefault="00802867" w:rsidP="008028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To reduce (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>) Equity shares by Rs.9 each.(ii) 10% Preference shares by Rs.40 each.(iii) 8% Debentures by 10%,(iv) Trade Creditor’s  claims  by one- third ,(v) Machinery to Rs.70,000 and (vi) Inventories by Rs. 10,000,</w:t>
      </w:r>
    </w:p>
    <w:p w:rsidR="00802867" w:rsidRPr="00F7772A" w:rsidRDefault="00802867" w:rsidP="008028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 To provide Rs. 15,000 for bad debts</w:t>
      </w:r>
    </w:p>
    <w:p w:rsidR="00802867" w:rsidRPr="00F7772A" w:rsidRDefault="00802867" w:rsidP="008028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To write off all the intangible assets; and</w:t>
      </w:r>
    </w:p>
    <w:p w:rsidR="00802867" w:rsidRPr="006E0689" w:rsidRDefault="00802867" w:rsidP="008028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0689">
        <w:rPr>
          <w:rFonts w:ascii="Times New Roman" w:hAnsi="Times New Roman" w:cs="Times New Roman"/>
          <w:sz w:val="24"/>
          <w:szCs w:val="24"/>
        </w:rPr>
        <w:t>To raise the rate of preference dividend to 13 % and the rate of debenture interest to 13.5%.</w:t>
      </w:r>
    </w:p>
    <w:p w:rsidR="00802867" w:rsidRPr="00F7772A" w:rsidRDefault="00802867" w:rsidP="00802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Assuming that the aforesaid proposals are duly approved and sanctioned, pass 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the  journal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entries  to give effect to the above, and show the company’s post reconstruction Balance sheet.</w:t>
      </w: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b/>
          <w:bCs/>
          <w:sz w:val="24"/>
          <w:szCs w:val="24"/>
        </w:rPr>
        <w:t>(Or)</w:t>
      </w:r>
    </w:p>
    <w:p w:rsidR="00802867" w:rsidRPr="00F7772A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7772A">
        <w:rPr>
          <w:rFonts w:ascii="Times New Roman" w:hAnsi="Times New Roman"/>
          <w:sz w:val="24"/>
          <w:szCs w:val="24"/>
        </w:rPr>
        <w:t xml:space="preserve"> 7) The summarized Balance sheet of </w:t>
      </w:r>
      <w:proofErr w:type="spellStart"/>
      <w:r w:rsidRPr="00F777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njana</w:t>
      </w:r>
      <w:proofErr w:type="spellEnd"/>
      <w:r w:rsidRPr="00F7772A">
        <w:rPr>
          <w:rFonts w:ascii="Times New Roman" w:hAnsi="Times New Roman"/>
          <w:sz w:val="24"/>
          <w:szCs w:val="24"/>
        </w:rPr>
        <w:t xml:space="preserve"> Company as at 31-3-2017 was as follows:</w:t>
      </w:r>
    </w:p>
    <w:tbl>
      <w:tblPr>
        <w:tblStyle w:val="TableGrid"/>
        <w:tblW w:w="9034" w:type="dxa"/>
        <w:jc w:val="center"/>
        <w:tblInd w:w="1080" w:type="dxa"/>
        <w:tblLook w:val="04A0"/>
      </w:tblPr>
      <w:tblGrid>
        <w:gridCol w:w="3438"/>
        <w:gridCol w:w="1388"/>
        <w:gridCol w:w="2752"/>
        <w:gridCol w:w="1456"/>
      </w:tblGrid>
      <w:tr w:rsidR="00802867" w:rsidRPr="00F7772A" w:rsidTr="00CE09D9">
        <w:trPr>
          <w:jc w:val="center"/>
        </w:trPr>
        <w:tc>
          <w:tcPr>
            <w:tcW w:w="343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Liabilities </w:t>
            </w:r>
          </w:p>
        </w:tc>
        <w:tc>
          <w:tcPr>
            <w:tcW w:w="138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75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456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802867" w:rsidRPr="00F7772A" w:rsidTr="00CE09D9">
        <w:trPr>
          <w:jc w:val="center"/>
        </w:trPr>
        <w:tc>
          <w:tcPr>
            <w:tcW w:w="343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Authorized and issued   capital: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20000 Equity shares of Rs. 10 each fully paid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10,000 6% cumulative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ref.shares</w:t>
            </w:r>
            <w:proofErr w:type="spellEnd"/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  of Rs. 100 each fully paid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 Bank overdraft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Sundry creditors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(note : The  cumulative Preference  Dividend is three years in arrear)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20,00,000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10,00,000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7,00,000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5,00,000</w:t>
            </w:r>
          </w:p>
        </w:tc>
        <w:tc>
          <w:tcPr>
            <w:tcW w:w="275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 Goodwill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Patents and Trade marks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Land and Buildings</w:t>
            </w:r>
            <w:r w:rsidRPr="00F7772A">
              <w:rPr>
                <w:rFonts w:ascii="Times New Roman" w:hAnsi="Times New Roman" w:cs="Times New Roman"/>
                <w:sz w:val="24"/>
                <w:szCs w:val="24"/>
              </w:rPr>
              <w:br/>
              <w:t>Plant and Machinery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Stocks ( Investment)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Sundry debtors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Issue and Preliminary expenses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Profit and Loss a/c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15,00,000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10,00,000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4,00,000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3,00,000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6,00,000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67" w:rsidRPr="00F7772A" w:rsidTr="00CE09D9">
        <w:trPr>
          <w:jc w:val="center"/>
        </w:trPr>
        <w:tc>
          <w:tcPr>
            <w:tcW w:w="343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42,00,000</w:t>
            </w:r>
          </w:p>
        </w:tc>
        <w:tc>
          <w:tcPr>
            <w:tcW w:w="275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42,00,000</w:t>
            </w:r>
          </w:p>
        </w:tc>
      </w:tr>
    </w:tbl>
    <w:p w:rsidR="00802867" w:rsidRPr="00F7772A" w:rsidRDefault="00802867" w:rsidP="00802867">
      <w:pPr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</w:t>
      </w:r>
      <w:r w:rsidRPr="00F7772A">
        <w:rPr>
          <w:rFonts w:ascii="Times New Roman" w:hAnsi="Times New Roman"/>
          <w:sz w:val="24"/>
          <w:szCs w:val="24"/>
        </w:rPr>
        <w:t xml:space="preserve"> scheme for the reduction of </w:t>
      </w:r>
      <w:proofErr w:type="gramStart"/>
      <w:r w:rsidRPr="00F7772A">
        <w:rPr>
          <w:rFonts w:ascii="Times New Roman" w:hAnsi="Times New Roman"/>
          <w:sz w:val="24"/>
          <w:szCs w:val="24"/>
        </w:rPr>
        <w:t>capital  was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approved on the following terms:</w:t>
      </w:r>
    </w:p>
    <w:p w:rsidR="00802867" w:rsidRPr="00F7772A" w:rsidRDefault="00802867" w:rsidP="008028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lastRenderedPageBreak/>
        <w:t>The preference shareholders agree that their shares be reduced to a fully paid value of Rs. 50 each and to accept equity shares of Rs.5 each fully paid in lieu of the dividends arrears.</w:t>
      </w:r>
    </w:p>
    <w:p w:rsidR="00802867" w:rsidRPr="00F7772A" w:rsidRDefault="00802867" w:rsidP="008028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The Equity shareholders agree that their shares be reduced to a fully paid value of Rs.5 each.</w:t>
      </w:r>
    </w:p>
    <w:p w:rsidR="00802867" w:rsidRPr="00F7772A" w:rsidRDefault="00802867" w:rsidP="008028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The authorized capital of the company is to remain at 30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,00,000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divided into  4,00,000 Equity shares of Rs.5 each and 20,000.6% Cumulative preference shares of Rs.50 each.</w:t>
      </w:r>
    </w:p>
    <w:p w:rsidR="00802867" w:rsidRPr="00F7772A" w:rsidRDefault="00802867" w:rsidP="008028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All the intangible assets are to be eliminated and bad debts of Rs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>50,000 and obsolete shares of Rs.80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are to be written off.</w:t>
      </w:r>
    </w:p>
    <w:p w:rsidR="00802867" w:rsidRPr="00B543E1" w:rsidRDefault="00802867" w:rsidP="00802867">
      <w:pPr>
        <w:rPr>
          <w:rFonts w:ascii="Times New Roman" w:hAnsi="Times New Roman"/>
          <w:sz w:val="24"/>
          <w:szCs w:val="24"/>
        </w:rPr>
      </w:pPr>
      <w:r w:rsidRPr="00B543E1">
        <w:rPr>
          <w:rFonts w:ascii="Times New Roman" w:hAnsi="Times New Roman"/>
          <w:sz w:val="24"/>
          <w:szCs w:val="24"/>
        </w:rPr>
        <w:t>Give journal entries necessary to record the reduction of capital and draw up a new Balance sheet after the scheme has been carried through.</w:t>
      </w:r>
    </w:p>
    <w:p w:rsidR="00802867" w:rsidRPr="00F7772A" w:rsidRDefault="00802867" w:rsidP="00802867">
      <w:pPr>
        <w:pStyle w:val="ListParagraph"/>
        <w:ind w:left="18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2A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802867" w:rsidRPr="00F7772A" w:rsidRDefault="00802867" w:rsidP="00802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7772A">
        <w:rPr>
          <w:rFonts w:ascii="Times New Roman" w:hAnsi="Times New Roman"/>
          <w:sz w:val="24"/>
          <w:szCs w:val="24"/>
        </w:rPr>
        <w:t>8)</w:t>
      </w:r>
      <w:r w:rsidRPr="00F7772A">
        <w:rPr>
          <w:rFonts w:ascii="Times New Roman" w:hAnsi="Times New Roman"/>
          <w:sz w:val="24"/>
          <w:szCs w:val="24"/>
        </w:rPr>
        <w:tab/>
      </w:r>
      <w:proofErr w:type="spellStart"/>
      <w:r w:rsidRPr="00F777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rimoorthy</w:t>
      </w:r>
      <w:proofErr w:type="spellEnd"/>
      <w:r>
        <w:rPr>
          <w:rFonts w:ascii="Times New Roman" w:hAnsi="Times New Roman"/>
          <w:sz w:val="24"/>
          <w:szCs w:val="24"/>
        </w:rPr>
        <w:t xml:space="preserve"> Co.</w:t>
      </w:r>
      <w:r w:rsidRPr="00F7772A">
        <w:rPr>
          <w:rFonts w:ascii="Times New Roman" w:hAnsi="Times New Roman"/>
          <w:sz w:val="24"/>
          <w:szCs w:val="24"/>
        </w:rPr>
        <w:t xml:space="preserve"> Ltd. was placed in voluntary liquidation on 31</w:t>
      </w:r>
      <w:r w:rsidRPr="00F7772A">
        <w:rPr>
          <w:rFonts w:ascii="Times New Roman" w:hAnsi="Times New Roman"/>
          <w:sz w:val="24"/>
          <w:szCs w:val="24"/>
          <w:vertAlign w:val="superscript"/>
        </w:rPr>
        <w:t>st</w:t>
      </w:r>
      <w:r w:rsidRPr="00F7772A">
        <w:rPr>
          <w:rFonts w:ascii="Times New Roman" w:hAnsi="Times New Roman"/>
          <w:sz w:val="24"/>
          <w:szCs w:val="24"/>
        </w:rPr>
        <w:t xml:space="preserve"> December 2016.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 w:rsidRPr="00F7772A">
        <w:rPr>
          <w:rFonts w:ascii="Times New Roman" w:hAnsi="Times New Roman"/>
          <w:sz w:val="24"/>
          <w:szCs w:val="24"/>
        </w:rPr>
        <w:t xml:space="preserve">When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72A">
        <w:rPr>
          <w:rFonts w:ascii="Times New Roman" w:hAnsi="Times New Roman"/>
          <w:sz w:val="24"/>
          <w:szCs w:val="24"/>
        </w:rPr>
        <w:t>its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 balance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72A">
        <w:rPr>
          <w:rFonts w:ascii="Times New Roman" w:hAnsi="Times New Roman"/>
          <w:sz w:val="24"/>
          <w:szCs w:val="24"/>
        </w:rPr>
        <w:t>sheet was as follows.</w:t>
      </w:r>
    </w:p>
    <w:p w:rsidR="00802867" w:rsidRPr="00F7772A" w:rsidRDefault="00802867" w:rsidP="00802867">
      <w:pPr>
        <w:ind w:left="1830" w:hanging="39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8764" w:type="dxa"/>
        <w:jc w:val="center"/>
        <w:tblInd w:w="1080" w:type="dxa"/>
        <w:tblLook w:val="04A0"/>
      </w:tblPr>
      <w:tblGrid>
        <w:gridCol w:w="3168"/>
        <w:gridCol w:w="1388"/>
        <w:gridCol w:w="2842"/>
        <w:gridCol w:w="1366"/>
      </w:tblGrid>
      <w:tr w:rsidR="00802867" w:rsidRPr="00F7772A" w:rsidTr="00CE09D9">
        <w:trPr>
          <w:trHeight w:val="144"/>
          <w:jc w:val="center"/>
        </w:trPr>
        <w:tc>
          <w:tcPr>
            <w:tcW w:w="3168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388" w:type="dxa"/>
            <w:vAlign w:val="center"/>
          </w:tcPr>
          <w:p w:rsidR="00802867" w:rsidRPr="00F7772A" w:rsidRDefault="00802867" w:rsidP="00CE09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366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 xml:space="preserve">         Rs.</w:t>
            </w:r>
          </w:p>
        </w:tc>
      </w:tr>
      <w:tr w:rsidR="00802867" w:rsidRPr="00F7772A" w:rsidTr="00CE09D9">
        <w:trPr>
          <w:jc w:val="center"/>
        </w:trPr>
        <w:tc>
          <w:tcPr>
            <w:tcW w:w="3168" w:type="dxa"/>
          </w:tcPr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Issued share Capital: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50.000 Equity shares of Rs.10 each fully Paid  less calls in arrear amounting to Rs. 25,000</w:t>
            </w:r>
            <w:r w:rsidRPr="00F7772A">
              <w:rPr>
                <w:rFonts w:ascii="Times New Roman" w:hAnsi="Times New Roman"/>
                <w:sz w:val="24"/>
                <w:szCs w:val="24"/>
              </w:rPr>
              <w:tab/>
            </w:r>
            <w:r w:rsidRPr="00F7772A">
              <w:rPr>
                <w:rFonts w:ascii="Times New Roman" w:hAnsi="Times New Roman"/>
                <w:sz w:val="24"/>
                <w:szCs w:val="24"/>
              </w:rPr>
              <w:tab/>
            </w:r>
            <w:r w:rsidRPr="00F7772A">
              <w:rPr>
                <w:rFonts w:ascii="Times New Roman" w:hAnsi="Times New Roman"/>
                <w:sz w:val="24"/>
                <w:szCs w:val="24"/>
              </w:rPr>
              <w:tab/>
            </w:r>
            <w:r w:rsidRPr="00F7772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6,000 5% cumulative  preference shares ofRs.100 each fully paid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Share premium account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5% Debenture account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Interest on Debentures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Bank Overdraft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138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4,75,000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6,00,000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1,15,000</w:t>
            </w:r>
          </w:p>
        </w:tc>
        <w:tc>
          <w:tcPr>
            <w:tcW w:w="284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Freehold factory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Plant and Machinery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Motor Vehicles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Profit &amp; Loss Account</w:t>
            </w:r>
          </w:p>
        </w:tc>
        <w:tc>
          <w:tcPr>
            <w:tcW w:w="1366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5,80,000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2,89,000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57,500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1,86,000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74,000</w:t>
            </w:r>
          </w:p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2,14,000</w:t>
            </w:r>
          </w:p>
        </w:tc>
      </w:tr>
      <w:tr w:rsidR="00802867" w:rsidRPr="00F7772A" w:rsidTr="00CE09D9">
        <w:trPr>
          <w:jc w:val="center"/>
        </w:trPr>
        <w:tc>
          <w:tcPr>
            <w:tcW w:w="3168" w:type="dxa"/>
          </w:tcPr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02867" w:rsidRPr="00F7772A" w:rsidRDefault="00802867" w:rsidP="00CE09D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14,00,500</w:t>
            </w:r>
          </w:p>
        </w:tc>
        <w:tc>
          <w:tcPr>
            <w:tcW w:w="2842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2867" w:rsidRPr="00F7772A" w:rsidRDefault="00802867" w:rsidP="00CE0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A">
              <w:rPr>
                <w:rFonts w:ascii="Times New Roman" w:hAnsi="Times New Roman" w:cs="Times New Roman"/>
                <w:sz w:val="24"/>
                <w:szCs w:val="24"/>
              </w:rPr>
              <w:t>14,00,500</w:t>
            </w:r>
          </w:p>
        </w:tc>
      </w:tr>
    </w:tbl>
    <w:p w:rsidR="00802867" w:rsidRPr="00F7772A" w:rsidRDefault="00802867" w:rsidP="00802867">
      <w:pPr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The Preference dividends are in arrears from 2013 onwards.</w:t>
      </w:r>
    </w:p>
    <w:p w:rsidR="00802867" w:rsidRPr="00F7772A" w:rsidRDefault="00802867" w:rsidP="00802867">
      <w:pPr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The company’s articles provide that on liquidation, out of the surplus assets remaining after payment of liquidation cost and outside liabilities, there shall be paid firstly all </w:t>
      </w:r>
      <w:proofErr w:type="gramStart"/>
      <w:r w:rsidRPr="00F7772A">
        <w:rPr>
          <w:rFonts w:ascii="Times New Roman" w:hAnsi="Times New Roman"/>
          <w:sz w:val="24"/>
          <w:szCs w:val="24"/>
        </w:rPr>
        <w:t>arrears  of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preference dividend, secondly the amount paid up on the Preference shares together with a premium thereon of Rs.10 per share, and thirdly any balance then remaining shall be paid to the equity share holders.</w:t>
      </w:r>
    </w:p>
    <w:p w:rsidR="00802867" w:rsidRPr="00F7772A" w:rsidRDefault="00802867" w:rsidP="00802867">
      <w:pPr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lastRenderedPageBreak/>
        <w:t>The Bank overdraft was guaranteed by the directors who were called upon by the Bank to discharge their liability under the guarantee. The directors paid the amount to the Bank</w:t>
      </w:r>
    </w:p>
    <w:p w:rsidR="00802867" w:rsidRDefault="00802867" w:rsidP="00802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2867" w:rsidRPr="00F7772A" w:rsidRDefault="00802867" w:rsidP="00802867">
      <w:pPr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lastRenderedPageBreak/>
        <w:t>The liquidator realized the assets as follows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b/>
          <w:bCs/>
          <w:sz w:val="24"/>
          <w:szCs w:val="24"/>
        </w:rPr>
        <w:t>Rs.</w:t>
      </w:r>
    </w:p>
    <w:p w:rsidR="00802867" w:rsidRPr="00F7772A" w:rsidRDefault="00802867" w:rsidP="00802867">
      <w:pPr>
        <w:spacing w:line="240" w:lineRule="auto"/>
        <w:ind w:left="1080" w:firstLine="36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br/>
        <w:t>Freehold Factory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7</w:t>
      </w:r>
      <w:proofErr w:type="gramStart"/>
      <w:r w:rsidRPr="00F7772A">
        <w:rPr>
          <w:rFonts w:ascii="Times New Roman" w:hAnsi="Times New Roman"/>
          <w:sz w:val="24"/>
          <w:szCs w:val="24"/>
        </w:rPr>
        <w:t>,00,000</w:t>
      </w:r>
      <w:proofErr w:type="gramEnd"/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Plant and Machinery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2</w:t>
      </w:r>
      <w:proofErr w:type="gramStart"/>
      <w:r w:rsidRPr="00F7772A">
        <w:rPr>
          <w:rFonts w:ascii="Times New Roman" w:hAnsi="Times New Roman"/>
          <w:sz w:val="24"/>
          <w:szCs w:val="24"/>
        </w:rPr>
        <w:t>,40,000</w:t>
      </w:r>
      <w:proofErr w:type="gramEnd"/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Motor Vehicles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59,000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Stock 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1</w:t>
      </w:r>
      <w:proofErr w:type="gramStart"/>
      <w:r w:rsidRPr="00F7772A">
        <w:rPr>
          <w:rFonts w:ascii="Times New Roman" w:hAnsi="Times New Roman"/>
          <w:sz w:val="24"/>
          <w:szCs w:val="24"/>
        </w:rPr>
        <w:t>,50,000</w:t>
      </w:r>
      <w:proofErr w:type="gramEnd"/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Debtors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60,000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Calls in Arrears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25,000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Creditors were paid less discount of 5 per cent. The debenture and </w:t>
      </w:r>
      <w:proofErr w:type="spellStart"/>
      <w:r w:rsidRPr="00F7772A">
        <w:rPr>
          <w:rFonts w:ascii="Times New Roman" w:hAnsi="Times New Roman"/>
          <w:sz w:val="24"/>
          <w:szCs w:val="24"/>
        </w:rPr>
        <w:t>accured</w:t>
      </w:r>
      <w:proofErr w:type="spellEnd"/>
      <w:r w:rsidRPr="00F7772A">
        <w:rPr>
          <w:rFonts w:ascii="Times New Roman" w:hAnsi="Times New Roman"/>
          <w:sz w:val="24"/>
          <w:szCs w:val="24"/>
        </w:rPr>
        <w:t xml:space="preserve"> interest were repaid on 31</w:t>
      </w:r>
      <w:r w:rsidRPr="00F7772A">
        <w:rPr>
          <w:rFonts w:ascii="Times New Roman" w:hAnsi="Times New Roman"/>
          <w:sz w:val="24"/>
          <w:szCs w:val="24"/>
          <w:vertAlign w:val="superscript"/>
        </w:rPr>
        <w:t>st</w:t>
      </w:r>
      <w:r w:rsidRPr="00F7772A">
        <w:rPr>
          <w:rFonts w:ascii="Times New Roman" w:hAnsi="Times New Roman"/>
          <w:sz w:val="24"/>
          <w:szCs w:val="24"/>
        </w:rPr>
        <w:t xml:space="preserve"> march 2003.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Liquidation costs were 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72A">
        <w:rPr>
          <w:rFonts w:ascii="Times New Roman" w:hAnsi="Times New Roman"/>
          <w:sz w:val="24"/>
          <w:szCs w:val="24"/>
        </w:rPr>
        <w:t>3,820 and the Liquidator’s remuneration was 2 per cent on the amounts realized.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Prepare the liquidator’s statement of account</w:t>
      </w: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2A">
        <w:rPr>
          <w:rFonts w:ascii="Times New Roman" w:hAnsi="Times New Roman" w:cs="Times New Roman"/>
          <w:b/>
          <w:bCs/>
          <w:sz w:val="24"/>
          <w:szCs w:val="24"/>
        </w:rPr>
        <w:t>(Or)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</w:rPr>
        <w:t>Nagarjuna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do.</w:t>
      </w:r>
      <w:r w:rsidRPr="00F7772A">
        <w:rPr>
          <w:rFonts w:ascii="Times New Roman" w:hAnsi="Times New Roman"/>
          <w:sz w:val="24"/>
          <w:szCs w:val="24"/>
        </w:rPr>
        <w:t>Ltd</w:t>
      </w:r>
      <w:proofErr w:type="spellEnd"/>
      <w:proofErr w:type="gramStart"/>
      <w:r w:rsidRPr="00F7772A">
        <w:rPr>
          <w:rFonts w:ascii="Times New Roman" w:hAnsi="Times New Roman"/>
          <w:sz w:val="24"/>
          <w:szCs w:val="24"/>
        </w:rPr>
        <w:t>..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772A">
        <w:rPr>
          <w:rFonts w:ascii="Times New Roman" w:hAnsi="Times New Roman"/>
          <w:sz w:val="24"/>
          <w:szCs w:val="24"/>
        </w:rPr>
        <w:t>Went into liquidation with the following liabilities.</w:t>
      </w:r>
      <w:proofErr w:type="gramEnd"/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Secured creditors</w:t>
      </w:r>
      <w:r w:rsidRPr="00F7772A">
        <w:rPr>
          <w:rFonts w:ascii="Times New Roman" w:hAnsi="Times New Roman"/>
          <w:sz w:val="24"/>
          <w:szCs w:val="24"/>
        </w:rPr>
        <w:tab/>
      </w:r>
      <w:r w:rsidRPr="00F7772A">
        <w:rPr>
          <w:rFonts w:ascii="Times New Roman" w:hAnsi="Times New Roman"/>
          <w:sz w:val="24"/>
          <w:szCs w:val="24"/>
        </w:rPr>
        <w:tab/>
        <w:t>Rs.40</w:t>
      </w:r>
      <w:proofErr w:type="gramStart"/>
      <w:r w:rsidRPr="00F7772A">
        <w:rPr>
          <w:rFonts w:ascii="Times New Roman" w:hAnsi="Times New Roman"/>
          <w:sz w:val="24"/>
          <w:szCs w:val="24"/>
        </w:rPr>
        <w:t>,000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(securities realized Rs.50,000)</w:t>
      </w: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Preferential creditors</w:t>
      </w:r>
      <w:r w:rsidRPr="00F7772A">
        <w:rPr>
          <w:rFonts w:ascii="Times New Roman" w:hAnsi="Times New Roman"/>
          <w:sz w:val="24"/>
          <w:szCs w:val="24"/>
        </w:rPr>
        <w:tab/>
        <w:t>Rs.1</w:t>
      </w:r>
      <w:proofErr w:type="gramStart"/>
      <w:r w:rsidRPr="00F7772A">
        <w:rPr>
          <w:rFonts w:ascii="Times New Roman" w:hAnsi="Times New Roman"/>
          <w:sz w:val="24"/>
          <w:szCs w:val="24"/>
        </w:rPr>
        <w:t>,200</w:t>
      </w:r>
      <w:proofErr w:type="gramEnd"/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Unsecured creditors</w:t>
      </w:r>
      <w:r w:rsidRPr="00F7772A">
        <w:rPr>
          <w:rFonts w:ascii="Times New Roman" w:hAnsi="Times New Roman"/>
          <w:sz w:val="24"/>
          <w:szCs w:val="24"/>
        </w:rPr>
        <w:tab/>
        <w:t>Rs.61</w:t>
      </w:r>
      <w:proofErr w:type="gramStart"/>
      <w:r w:rsidRPr="00F7772A">
        <w:rPr>
          <w:rFonts w:ascii="Times New Roman" w:hAnsi="Times New Roman"/>
          <w:sz w:val="24"/>
          <w:szCs w:val="24"/>
        </w:rPr>
        <w:t>,000</w:t>
      </w:r>
      <w:proofErr w:type="gramEnd"/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Liquidation expenses</w:t>
      </w:r>
      <w:r w:rsidRPr="00F7772A">
        <w:rPr>
          <w:rFonts w:ascii="Times New Roman" w:hAnsi="Times New Roman"/>
          <w:sz w:val="24"/>
          <w:szCs w:val="24"/>
        </w:rPr>
        <w:tab/>
        <w:t>Rs.500</w:t>
      </w:r>
    </w:p>
    <w:p w:rsidR="00802867" w:rsidRPr="00F7772A" w:rsidRDefault="00802867" w:rsidP="00802867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The liquidator is entitled to a remuneration of 3% on the amount </w:t>
      </w:r>
      <w:proofErr w:type="spellStart"/>
      <w:r w:rsidRPr="00F7772A">
        <w:rPr>
          <w:rFonts w:ascii="Times New Roman" w:hAnsi="Times New Roman"/>
          <w:sz w:val="24"/>
          <w:szCs w:val="24"/>
        </w:rPr>
        <w:t>realilsed</w:t>
      </w:r>
      <w:proofErr w:type="spellEnd"/>
      <w:r w:rsidRPr="00F7772A">
        <w:rPr>
          <w:rFonts w:ascii="Times New Roman" w:hAnsi="Times New Roman"/>
          <w:sz w:val="24"/>
          <w:szCs w:val="24"/>
        </w:rPr>
        <w:t xml:space="preserve"> (including securities in the hands of secured creditors) and 1 ½% on the amount distributed to unsecured creditors. The various assets (excluding the securities in hand of the secured creditors) realized are Rs.52, 000.</w:t>
      </w:r>
    </w:p>
    <w:p w:rsidR="00802867" w:rsidRDefault="00802867" w:rsidP="00802867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Prepare the liquidator’s statement of account showing the payment made to the unsecured creditors.</w:t>
      </w:r>
    </w:p>
    <w:p w:rsidR="00802867" w:rsidRPr="00B543E1" w:rsidRDefault="00802867" w:rsidP="00802867">
      <w:pPr>
        <w:spacing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3E1">
        <w:rPr>
          <w:rFonts w:ascii="Times New Roman" w:hAnsi="Times New Roman"/>
          <w:b/>
          <w:bCs/>
          <w:sz w:val="24"/>
          <w:szCs w:val="24"/>
        </w:rPr>
        <w:t>UNIT V</w:t>
      </w:r>
    </w:p>
    <w:p w:rsidR="00802867" w:rsidRPr="00F7772A" w:rsidRDefault="00802867" w:rsidP="00802867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>10) The following ar</w:t>
      </w:r>
      <w:r>
        <w:rPr>
          <w:rFonts w:ascii="Times New Roman" w:hAnsi="Times New Roman"/>
          <w:sz w:val="24"/>
          <w:szCs w:val="24"/>
        </w:rPr>
        <w:t xml:space="preserve">e the Balance sheet of </w:t>
      </w:r>
      <w:proofErr w:type="spellStart"/>
      <w:r>
        <w:rPr>
          <w:rFonts w:ascii="Times New Roman" w:hAnsi="Times New Roman"/>
          <w:sz w:val="24"/>
          <w:szCs w:val="24"/>
        </w:rPr>
        <w:t>Hemanth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Ltd..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F7772A">
        <w:rPr>
          <w:rFonts w:ascii="Times New Roman" w:hAnsi="Times New Roman"/>
          <w:sz w:val="24"/>
          <w:szCs w:val="24"/>
        </w:rPr>
        <w:t>nd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its </w:t>
      </w:r>
      <w:r w:rsidRPr="00F7772A">
        <w:rPr>
          <w:rFonts w:ascii="Times New Roman" w:hAnsi="Times New Roman"/>
          <w:sz w:val="24"/>
          <w:szCs w:val="24"/>
        </w:rPr>
        <w:t xml:space="preserve">subsidiary </w:t>
      </w:r>
      <w:proofErr w:type="spellStart"/>
      <w:r w:rsidRPr="00F7772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abari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772A">
        <w:rPr>
          <w:rFonts w:ascii="Times New Roman" w:hAnsi="Times New Roman"/>
          <w:sz w:val="24"/>
          <w:szCs w:val="24"/>
        </w:rPr>
        <w:t xml:space="preserve"> Ltd.. </w:t>
      </w:r>
      <w:proofErr w:type="gramStart"/>
      <w:r w:rsidRPr="00F7772A">
        <w:rPr>
          <w:rFonts w:ascii="Times New Roman" w:hAnsi="Times New Roman"/>
          <w:sz w:val="24"/>
          <w:szCs w:val="24"/>
        </w:rPr>
        <w:t>as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at 31</w:t>
      </w:r>
      <w:r w:rsidRPr="00F7772A">
        <w:rPr>
          <w:rFonts w:ascii="Times New Roman" w:hAnsi="Times New Roman"/>
          <w:sz w:val="24"/>
          <w:szCs w:val="24"/>
          <w:vertAlign w:val="superscript"/>
        </w:rPr>
        <w:t>st</w:t>
      </w:r>
      <w:r w:rsidRPr="00F7772A">
        <w:rPr>
          <w:rFonts w:ascii="Times New Roman" w:hAnsi="Times New Roman"/>
          <w:sz w:val="24"/>
          <w:szCs w:val="24"/>
        </w:rPr>
        <w:t xml:space="preserve"> March 2017.</w:t>
      </w:r>
    </w:p>
    <w:tbl>
      <w:tblPr>
        <w:tblStyle w:val="TableGrid"/>
        <w:tblW w:w="0" w:type="auto"/>
        <w:tblInd w:w="1080" w:type="dxa"/>
        <w:tblLook w:val="04A0"/>
      </w:tblPr>
      <w:tblGrid>
        <w:gridCol w:w="1823"/>
        <w:gridCol w:w="1176"/>
        <w:gridCol w:w="1065"/>
        <w:gridCol w:w="1833"/>
        <w:gridCol w:w="1176"/>
        <w:gridCol w:w="1089"/>
      </w:tblGrid>
      <w:tr w:rsidR="00802867" w:rsidRPr="00F7772A" w:rsidTr="00CE09D9">
        <w:tc>
          <w:tcPr>
            <w:tcW w:w="1992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1176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 xml:space="preserve"> H Ltd.  Rs.</w:t>
            </w:r>
          </w:p>
        </w:tc>
        <w:tc>
          <w:tcPr>
            <w:tcW w:w="1067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S Ltd.  Rs.</w:t>
            </w:r>
          </w:p>
        </w:tc>
        <w:tc>
          <w:tcPr>
            <w:tcW w:w="1987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1176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H Ltd.</w:t>
            </w:r>
          </w:p>
        </w:tc>
        <w:tc>
          <w:tcPr>
            <w:tcW w:w="1098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S Ltd. Rs.</w:t>
            </w:r>
          </w:p>
        </w:tc>
      </w:tr>
      <w:tr w:rsidR="00802867" w:rsidRPr="00F7772A" w:rsidTr="00CE09D9">
        <w:tc>
          <w:tcPr>
            <w:tcW w:w="1992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Fully paid equity shares of Rs.10 each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General reserve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Profit &amp; Loss a/c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 xml:space="preserve"> Creditors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6,00,000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3,40,000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1,00,000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067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2,00,000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80,000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60,000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35,000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lastRenderedPageBreak/>
              <w:t>Machinery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Furniture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80% shares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72A">
              <w:rPr>
                <w:rFonts w:ascii="Times New Roman" w:hAnsi="Times New Roman"/>
                <w:sz w:val="24"/>
                <w:szCs w:val="24"/>
              </w:rPr>
              <w:lastRenderedPageBreak/>
              <w:t>S Ltd., at cost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 xml:space="preserve">Stock 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Cash in Bank</w:t>
            </w:r>
          </w:p>
        </w:tc>
        <w:tc>
          <w:tcPr>
            <w:tcW w:w="1176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lastRenderedPageBreak/>
              <w:t>3,90,000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80,000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lastRenderedPageBreak/>
              <w:t>3,40,000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1,80,000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098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lastRenderedPageBreak/>
              <w:t>1,35,000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1,20,000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50,000</w:t>
            </w:r>
          </w:p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67" w:rsidRPr="00F7772A" w:rsidTr="00CE09D9">
        <w:tc>
          <w:tcPr>
            <w:tcW w:w="1992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11,10,000</w:t>
            </w:r>
          </w:p>
        </w:tc>
        <w:tc>
          <w:tcPr>
            <w:tcW w:w="1067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3,75,000</w:t>
            </w:r>
          </w:p>
        </w:tc>
        <w:tc>
          <w:tcPr>
            <w:tcW w:w="1987" w:type="dxa"/>
          </w:tcPr>
          <w:p w:rsidR="00802867" w:rsidRPr="00F7772A" w:rsidRDefault="00802867" w:rsidP="00CE0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11,10,000</w:t>
            </w:r>
          </w:p>
        </w:tc>
        <w:tc>
          <w:tcPr>
            <w:tcW w:w="1098" w:type="dxa"/>
          </w:tcPr>
          <w:p w:rsidR="00802867" w:rsidRPr="00F7772A" w:rsidRDefault="00802867" w:rsidP="00CE09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3,75,000</w:t>
            </w:r>
          </w:p>
        </w:tc>
      </w:tr>
    </w:tbl>
    <w:p w:rsidR="00802867" w:rsidRPr="00F7772A" w:rsidRDefault="00802867" w:rsidP="00802867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2867" w:rsidRPr="00F7772A" w:rsidRDefault="00802867" w:rsidP="00802867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F7772A">
        <w:rPr>
          <w:rFonts w:ascii="Times New Roman" w:hAnsi="Times New Roman"/>
          <w:sz w:val="24"/>
          <w:szCs w:val="24"/>
        </w:rPr>
        <w:t>following  additional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information is provided to you:</w:t>
      </w:r>
    </w:p>
    <w:p w:rsidR="00802867" w:rsidRPr="00F7772A" w:rsidRDefault="00802867" w:rsidP="0080286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Profit &amp; Loss account of 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abari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Ltd. stood at Rs.30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on 1 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April 2016 whereas general reserve has remained  unchanged since that date.</w:t>
      </w:r>
    </w:p>
    <w:p w:rsidR="00802867" w:rsidRPr="00F7772A" w:rsidRDefault="00802867" w:rsidP="0080286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emanth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Ltd..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72A">
        <w:rPr>
          <w:rFonts w:ascii="Times New Roman" w:hAnsi="Times New Roman" w:cs="Times New Roman"/>
          <w:sz w:val="24"/>
          <w:szCs w:val="24"/>
        </w:rPr>
        <w:t>acquired</w:t>
      </w:r>
      <w:proofErr w:type="gramEnd"/>
      <w:r w:rsidRPr="00F7772A">
        <w:rPr>
          <w:rFonts w:ascii="Times New Roman" w:hAnsi="Times New Roman" w:cs="Times New Roman"/>
          <w:sz w:val="24"/>
          <w:szCs w:val="24"/>
        </w:rPr>
        <w:t xml:space="preserve"> 80% shares in </w:t>
      </w:r>
      <w:proofErr w:type="spellStart"/>
      <w:r w:rsidRPr="00F777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abari</w:t>
      </w:r>
      <w:proofErr w:type="spellEnd"/>
      <w:r w:rsidRPr="00F7772A">
        <w:rPr>
          <w:rFonts w:ascii="Times New Roman" w:hAnsi="Times New Roman" w:cs="Times New Roman"/>
          <w:sz w:val="24"/>
          <w:szCs w:val="24"/>
        </w:rPr>
        <w:t xml:space="preserve"> Ltd. on 1</w:t>
      </w:r>
      <w:r w:rsidRPr="00F777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772A">
        <w:rPr>
          <w:rFonts w:ascii="Times New Roman" w:hAnsi="Times New Roman" w:cs="Times New Roman"/>
          <w:sz w:val="24"/>
          <w:szCs w:val="24"/>
        </w:rPr>
        <w:t xml:space="preserve"> October,2016 for Rs. 3,40,000 s mentioned above.</w:t>
      </w:r>
    </w:p>
    <w:p w:rsidR="00802867" w:rsidRPr="00F7772A" w:rsidRDefault="00802867" w:rsidP="00802867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sz w:val="24"/>
          <w:szCs w:val="24"/>
        </w:rPr>
        <w:t>You are required to prepare consolidated balance sheet as at 31</w:t>
      </w:r>
      <w:r w:rsidRPr="00F777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772A">
        <w:rPr>
          <w:rFonts w:ascii="Times New Roman" w:hAnsi="Times New Roman" w:cs="Times New Roman"/>
          <w:sz w:val="24"/>
          <w:szCs w:val="24"/>
        </w:rPr>
        <w:t xml:space="preserve"> march, 2017. Show all calculations clearly.</w:t>
      </w: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02867" w:rsidRPr="00F7772A" w:rsidRDefault="00802867" w:rsidP="0080286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7772A">
        <w:rPr>
          <w:rFonts w:ascii="Times New Roman" w:hAnsi="Times New Roman" w:cs="Times New Roman"/>
          <w:b/>
          <w:bCs/>
          <w:sz w:val="24"/>
          <w:szCs w:val="24"/>
        </w:rPr>
        <w:t>(Or)</w:t>
      </w:r>
    </w:p>
    <w:p w:rsidR="00802867" w:rsidRPr="00F7772A" w:rsidRDefault="00802867" w:rsidP="00802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11) From the Balance sheet given below prepare a consolidated balance sheet </w:t>
      </w:r>
      <w:proofErr w:type="gramStart"/>
      <w:r w:rsidRPr="00F7772A">
        <w:rPr>
          <w:rFonts w:ascii="Times New Roman" w:hAnsi="Times New Roman"/>
          <w:sz w:val="24"/>
          <w:szCs w:val="24"/>
        </w:rPr>
        <w:t xml:space="preserve">of  </w:t>
      </w:r>
      <w:proofErr w:type="spellStart"/>
      <w:r w:rsidRPr="00F7772A">
        <w:rPr>
          <w:rFonts w:ascii="Times New Roman" w:hAnsi="Times New Roman"/>
          <w:sz w:val="24"/>
          <w:szCs w:val="24"/>
        </w:rPr>
        <w:t>Maruthi</w:t>
      </w:r>
      <w:proofErr w:type="spellEnd"/>
      <w:proofErr w:type="gramEnd"/>
      <w:r w:rsidRPr="00F7772A">
        <w:rPr>
          <w:rFonts w:ascii="Times New Roman" w:hAnsi="Times New Roman"/>
          <w:sz w:val="24"/>
          <w:szCs w:val="24"/>
        </w:rPr>
        <w:t xml:space="preserve"> Ltd. and   its subsidiary, Garuda Ltd.. </w:t>
      </w:r>
      <w:proofErr w:type="gramStart"/>
      <w:r w:rsidRPr="00F7772A">
        <w:rPr>
          <w:rFonts w:ascii="Times New Roman" w:hAnsi="Times New Roman"/>
          <w:sz w:val="24"/>
          <w:szCs w:val="24"/>
        </w:rPr>
        <w:t>as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on 31-3-2017.</w:t>
      </w:r>
    </w:p>
    <w:tbl>
      <w:tblPr>
        <w:tblStyle w:val="TableGrid"/>
        <w:tblW w:w="8298" w:type="dxa"/>
        <w:tblInd w:w="1080" w:type="dxa"/>
        <w:tblLook w:val="04A0"/>
      </w:tblPr>
      <w:tblGrid>
        <w:gridCol w:w="1910"/>
        <w:gridCol w:w="1169"/>
        <w:gridCol w:w="1170"/>
        <w:gridCol w:w="1889"/>
        <w:gridCol w:w="1080"/>
        <w:gridCol w:w="1080"/>
      </w:tblGrid>
      <w:tr w:rsidR="00802867" w:rsidRPr="00F7772A" w:rsidTr="00CE09D9">
        <w:tc>
          <w:tcPr>
            <w:tcW w:w="1908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ab/>
              <w:t>Liabilities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772A">
              <w:rPr>
                <w:rFonts w:ascii="Times New Roman" w:hAnsi="Times New Roman"/>
                <w:sz w:val="24"/>
                <w:szCs w:val="24"/>
              </w:rPr>
              <w:t>Maruthi</w:t>
            </w:r>
            <w:proofErr w:type="spellEnd"/>
            <w:r w:rsidRPr="00F7772A">
              <w:rPr>
                <w:rFonts w:ascii="Times New Roman" w:hAnsi="Times New Roman"/>
                <w:sz w:val="24"/>
                <w:szCs w:val="24"/>
              </w:rPr>
              <w:t xml:space="preserve">  Ltd</w:t>
            </w:r>
            <w:proofErr w:type="gramEnd"/>
            <w:r w:rsidRPr="00F7772A">
              <w:rPr>
                <w:rFonts w:ascii="Times New Roman" w:hAnsi="Times New Roman"/>
                <w:sz w:val="24"/>
                <w:szCs w:val="24"/>
              </w:rPr>
              <w:t>.. Rs.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72A">
              <w:rPr>
                <w:rFonts w:ascii="Times New Roman" w:hAnsi="Times New Roman"/>
                <w:sz w:val="24"/>
                <w:szCs w:val="24"/>
              </w:rPr>
              <w:t>Garuda  Ltd</w:t>
            </w:r>
            <w:proofErr w:type="gramEnd"/>
            <w:r w:rsidRPr="00F7772A">
              <w:rPr>
                <w:rFonts w:ascii="Times New Roman" w:hAnsi="Times New Roman"/>
                <w:sz w:val="24"/>
                <w:szCs w:val="24"/>
              </w:rPr>
              <w:t>.. Rs</w:t>
            </w:r>
          </w:p>
        </w:tc>
        <w:tc>
          <w:tcPr>
            <w:tcW w:w="189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108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772A">
              <w:rPr>
                <w:rFonts w:ascii="Times New Roman" w:hAnsi="Times New Roman"/>
                <w:sz w:val="24"/>
                <w:szCs w:val="24"/>
              </w:rPr>
              <w:t>Maruthi</w:t>
            </w:r>
            <w:proofErr w:type="spellEnd"/>
            <w:r w:rsidRPr="00F7772A">
              <w:rPr>
                <w:rFonts w:ascii="Times New Roman" w:hAnsi="Times New Roman"/>
                <w:sz w:val="24"/>
                <w:szCs w:val="24"/>
              </w:rPr>
              <w:t xml:space="preserve">  Ltd</w:t>
            </w:r>
            <w:proofErr w:type="gramEnd"/>
            <w:r w:rsidRPr="00F7772A">
              <w:rPr>
                <w:rFonts w:ascii="Times New Roman" w:hAnsi="Times New Roman"/>
                <w:sz w:val="24"/>
                <w:szCs w:val="24"/>
              </w:rPr>
              <w:t>.. Rs.</w:t>
            </w:r>
          </w:p>
        </w:tc>
        <w:tc>
          <w:tcPr>
            <w:tcW w:w="108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 xml:space="preserve">Garuda </w:t>
            </w:r>
            <w:proofErr w:type="gramStart"/>
            <w:r w:rsidRPr="00F7772A">
              <w:rPr>
                <w:rFonts w:ascii="Times New Roman" w:hAnsi="Times New Roman"/>
                <w:sz w:val="24"/>
                <w:szCs w:val="24"/>
              </w:rPr>
              <w:t>Ltd..</w:t>
            </w:r>
            <w:proofErr w:type="gramEnd"/>
            <w:r w:rsidRPr="00F7772A">
              <w:rPr>
                <w:rFonts w:ascii="Times New Roman" w:hAnsi="Times New Roman"/>
                <w:sz w:val="24"/>
                <w:szCs w:val="24"/>
              </w:rPr>
              <w:t xml:space="preserve"> Rs</w:t>
            </w:r>
          </w:p>
        </w:tc>
      </w:tr>
      <w:tr w:rsidR="00802867" w:rsidRPr="00F7772A" w:rsidTr="00CE09D9">
        <w:tc>
          <w:tcPr>
            <w:tcW w:w="1908" w:type="dxa"/>
          </w:tcPr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Share Capital of Rs. 10 each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Trade Creditors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General Reserve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Profit &amp; Loss A/c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1,20,000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25,000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6,000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9,000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Free hold Building at cost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Plant &amp; Mach.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Stock at cost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Trade Debtors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Bank Balance</w:t>
            </w:r>
          </w:p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 xml:space="preserve">Share in Garuda </w:t>
            </w:r>
            <w:proofErr w:type="gramStart"/>
            <w:r w:rsidRPr="00F7772A">
              <w:rPr>
                <w:rFonts w:ascii="Times New Roman" w:hAnsi="Times New Roman"/>
                <w:sz w:val="24"/>
                <w:szCs w:val="24"/>
              </w:rPr>
              <w:t>Ltd..</w:t>
            </w:r>
            <w:proofErr w:type="gramEnd"/>
            <w:r w:rsidRPr="00F7772A">
              <w:rPr>
                <w:rFonts w:ascii="Times New Roman" w:hAnsi="Times New Roman"/>
                <w:sz w:val="24"/>
                <w:szCs w:val="24"/>
              </w:rPr>
              <w:t xml:space="preserve"> 2000 shares of Rs.10 each</w:t>
            </w:r>
          </w:p>
        </w:tc>
        <w:tc>
          <w:tcPr>
            <w:tcW w:w="108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72,000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22,000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08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25,000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10,000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3,000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7,000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867" w:rsidRPr="00F7772A" w:rsidTr="00CE09D9">
        <w:tc>
          <w:tcPr>
            <w:tcW w:w="1908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1,72,000</w:t>
            </w:r>
          </w:p>
        </w:tc>
        <w:tc>
          <w:tcPr>
            <w:tcW w:w="117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890" w:type="dxa"/>
          </w:tcPr>
          <w:p w:rsidR="00802867" w:rsidRPr="00F7772A" w:rsidRDefault="00802867" w:rsidP="00CE0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1,72,000</w:t>
            </w:r>
          </w:p>
        </w:tc>
        <w:tc>
          <w:tcPr>
            <w:tcW w:w="1080" w:type="dxa"/>
          </w:tcPr>
          <w:p w:rsidR="00802867" w:rsidRPr="00F7772A" w:rsidRDefault="00802867" w:rsidP="00CE0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</w:tbl>
    <w:p w:rsidR="00802867" w:rsidRPr="00F7772A" w:rsidRDefault="00802867" w:rsidP="00802867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802867" w:rsidRPr="00F7772A" w:rsidRDefault="00802867" w:rsidP="00802867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F7772A">
        <w:rPr>
          <w:rFonts w:ascii="Times New Roman" w:hAnsi="Times New Roman"/>
          <w:sz w:val="24"/>
          <w:szCs w:val="24"/>
        </w:rPr>
        <w:t xml:space="preserve">At the date of acquisition by </w:t>
      </w:r>
      <w:proofErr w:type="spellStart"/>
      <w:r w:rsidRPr="00F7772A">
        <w:rPr>
          <w:rFonts w:ascii="Times New Roman" w:hAnsi="Times New Roman"/>
          <w:sz w:val="24"/>
          <w:szCs w:val="24"/>
        </w:rPr>
        <w:t>Maruthi</w:t>
      </w:r>
      <w:proofErr w:type="spellEnd"/>
      <w:r w:rsidRPr="00F77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772A">
        <w:rPr>
          <w:rFonts w:ascii="Times New Roman" w:hAnsi="Times New Roman"/>
          <w:sz w:val="24"/>
          <w:szCs w:val="24"/>
        </w:rPr>
        <w:t>Ltd..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772A">
        <w:rPr>
          <w:rFonts w:ascii="Times New Roman" w:hAnsi="Times New Roman"/>
          <w:sz w:val="24"/>
          <w:szCs w:val="24"/>
        </w:rPr>
        <w:t>of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its holding of 2000 shares in Garuda Ltd.. </w:t>
      </w:r>
      <w:proofErr w:type="gramStart"/>
      <w:r w:rsidRPr="00F7772A">
        <w:rPr>
          <w:rFonts w:ascii="Times New Roman" w:hAnsi="Times New Roman"/>
          <w:sz w:val="24"/>
          <w:szCs w:val="24"/>
        </w:rPr>
        <w:t>the</w:t>
      </w:r>
      <w:proofErr w:type="gramEnd"/>
      <w:r w:rsidRPr="00F7772A">
        <w:rPr>
          <w:rFonts w:ascii="Times New Roman" w:hAnsi="Times New Roman"/>
          <w:sz w:val="24"/>
          <w:szCs w:val="24"/>
        </w:rPr>
        <w:t xml:space="preserve"> latter company had undistributed profits and reserve amounting to Rs.5000, none of which has been distributed since the date of acquisition.</w:t>
      </w:r>
    </w:p>
    <w:p w:rsidR="00802867" w:rsidRDefault="00802867" w:rsidP="00802867">
      <w:pPr>
        <w:tabs>
          <w:tab w:val="left" w:pos="480"/>
        </w:tabs>
        <w:spacing w:after="0" w:line="240" w:lineRule="auto"/>
        <w:ind w:right="220"/>
        <w:rPr>
          <w:rFonts w:ascii="Times New Roman" w:hAnsi="Times New Roman"/>
        </w:rPr>
      </w:pPr>
    </w:p>
    <w:p w:rsidR="00802867" w:rsidRDefault="00802867" w:rsidP="00802867">
      <w:pPr>
        <w:tabs>
          <w:tab w:val="left" w:pos="480"/>
        </w:tabs>
        <w:spacing w:after="0" w:line="240" w:lineRule="auto"/>
        <w:ind w:right="220"/>
        <w:rPr>
          <w:rFonts w:ascii="Times New Roman" w:hAnsi="Times New Roman"/>
        </w:rPr>
      </w:pPr>
    </w:p>
    <w:p w:rsidR="00802867" w:rsidRDefault="00802867" w:rsidP="00802867">
      <w:pPr>
        <w:tabs>
          <w:tab w:val="left" w:pos="480"/>
        </w:tabs>
        <w:spacing w:after="0" w:line="240" w:lineRule="auto"/>
        <w:ind w:right="220"/>
        <w:rPr>
          <w:rFonts w:ascii="Times New Roman" w:hAnsi="Times New Roman"/>
        </w:rPr>
      </w:pPr>
    </w:p>
    <w:p w:rsidR="00802867" w:rsidRDefault="00802867">
      <w:pPr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br w:type="page"/>
      </w:r>
    </w:p>
    <w:p w:rsidR="003971F0" w:rsidRDefault="003971F0" w:rsidP="003971F0">
      <w:pPr>
        <w:jc w:val="right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lastRenderedPageBreak/>
        <w:t>1-5-101</w:t>
      </w:r>
    </w:p>
    <w:p w:rsidR="00F009A9" w:rsidRPr="0092541B" w:rsidRDefault="006B4B4E" w:rsidP="005E6CA1">
      <w:pPr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 w:rsidRPr="0092541B">
        <w:rPr>
          <w:rFonts w:ascii="Bookman Old Style" w:hAnsi="Bookman Old Style" w:cs="Times New Roman"/>
          <w:b/>
          <w:bCs/>
          <w:sz w:val="28"/>
          <w:szCs w:val="24"/>
        </w:rPr>
        <w:t>5.</w:t>
      </w:r>
      <w:r w:rsidR="007D77BF">
        <w:rPr>
          <w:rFonts w:ascii="Bookman Old Style" w:hAnsi="Bookman Old Style" w:cs="Times New Roman"/>
          <w:b/>
          <w:bCs/>
          <w:sz w:val="28"/>
          <w:szCs w:val="24"/>
        </w:rPr>
        <w:t>2</w:t>
      </w:r>
      <w:r w:rsidRPr="0092541B">
        <w:rPr>
          <w:rFonts w:ascii="Bookman Old Style" w:hAnsi="Bookman Old Style" w:cs="Times New Roman"/>
          <w:b/>
          <w:bCs/>
          <w:sz w:val="28"/>
          <w:szCs w:val="24"/>
        </w:rPr>
        <w:t xml:space="preserve"> </w:t>
      </w:r>
      <w:r w:rsidR="00F009A9" w:rsidRPr="0092541B">
        <w:rPr>
          <w:rFonts w:ascii="Bookman Old Style" w:hAnsi="Bookman Old Style" w:cs="Times New Roman"/>
          <w:b/>
          <w:bCs/>
          <w:sz w:val="28"/>
          <w:szCs w:val="24"/>
        </w:rPr>
        <w:t>GOODS &amp;</w:t>
      </w:r>
      <w:r w:rsidR="00643D29">
        <w:rPr>
          <w:rFonts w:ascii="Bookman Old Style" w:hAnsi="Bookman Old Style" w:cs="Times New Roman"/>
          <w:b/>
          <w:bCs/>
          <w:sz w:val="28"/>
          <w:szCs w:val="24"/>
        </w:rPr>
        <w:t xml:space="preserve"> </w:t>
      </w:r>
      <w:r w:rsidR="00F009A9" w:rsidRPr="0092541B">
        <w:rPr>
          <w:rFonts w:ascii="Bookman Old Style" w:hAnsi="Bookman Old Style" w:cs="Times New Roman"/>
          <w:b/>
          <w:bCs/>
          <w:sz w:val="28"/>
          <w:szCs w:val="24"/>
        </w:rPr>
        <w:t>SERVICE TAX FUNDAMENTALS</w:t>
      </w:r>
    </w:p>
    <w:p w:rsidR="00F009A9" w:rsidRPr="0092541B" w:rsidRDefault="00F009A9" w:rsidP="00C6652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>Unit I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: Introduction: Overview of GST - Concepts – Limitations of VAT –  Justification of  GST Need for Tax  Reforms - Advantages at the Central Level and State Level on introduction of GST 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009A9" w:rsidRPr="0092541B" w:rsidRDefault="00F009A9" w:rsidP="00C6652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>Unit II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GST</w:t>
      </w:r>
      <w:proofErr w:type="gramStart"/>
      <w:r w:rsidRPr="0092541B">
        <w:rPr>
          <w:rFonts w:ascii="Bookman Old Style" w:hAnsi="Bookman Old Style" w:cs="Times New Roman"/>
          <w:sz w:val="24"/>
          <w:szCs w:val="24"/>
        </w:rPr>
        <w:t>:Principles</w:t>
      </w:r>
      <w:proofErr w:type="spellEnd"/>
      <w:proofErr w:type="gramEnd"/>
      <w:r w:rsidRPr="0092541B">
        <w:rPr>
          <w:rFonts w:ascii="Bookman Old Style" w:hAnsi="Bookman Old Style" w:cs="Times New Roman"/>
          <w:sz w:val="24"/>
          <w:szCs w:val="24"/>
        </w:rPr>
        <w:t xml:space="preserve"> – Models of GST: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Austrlian</w:t>
      </w:r>
      <w:proofErr w:type="spellEnd"/>
      <w:r w:rsidRPr="0092541B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Candian</w:t>
      </w:r>
      <w:proofErr w:type="spellEnd"/>
      <w:r w:rsidRPr="0092541B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Kelkar</w:t>
      </w:r>
      <w:proofErr w:type="spellEnd"/>
      <w:r w:rsidRPr="0092541B">
        <w:rPr>
          <w:rFonts w:ascii="Bookman Old Style" w:hAnsi="Bookman Old Style" w:cs="Times New Roman"/>
          <w:sz w:val="24"/>
          <w:szCs w:val="24"/>
        </w:rPr>
        <w:t xml:space="preserve">-Shah –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BagchiPoddar</w:t>
      </w:r>
      <w:proofErr w:type="spellEnd"/>
      <w:r w:rsidRPr="0092541B">
        <w:rPr>
          <w:rFonts w:ascii="Bookman Old Style" w:hAnsi="Bookman Old Style" w:cs="Times New Roman"/>
          <w:sz w:val="24"/>
          <w:szCs w:val="24"/>
        </w:rPr>
        <w:t xml:space="preserve"> –</w:t>
      </w:r>
      <w:r w:rsidR="00420383">
        <w:rPr>
          <w:rFonts w:ascii="Bookman Old Style" w:hAnsi="Bookman Old Style" w:cs="Times New Roman"/>
          <w:sz w:val="24"/>
          <w:szCs w:val="24"/>
        </w:rPr>
        <w:t xml:space="preserve"> </w:t>
      </w:r>
      <w:r w:rsidRPr="0092541B">
        <w:rPr>
          <w:rFonts w:ascii="Bookman Old Style" w:hAnsi="Bookman Old Style" w:cs="Times New Roman"/>
          <w:sz w:val="24"/>
          <w:szCs w:val="24"/>
        </w:rPr>
        <w:t>Comprehensive structure of GST model in India: Single, Dual GST– Transactions covered under GST.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009A9" w:rsidRPr="0092541B" w:rsidRDefault="00F009A9" w:rsidP="00C6652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>Unit-</w:t>
      </w:r>
      <w:proofErr w:type="spellStart"/>
      <w:r w:rsidRPr="0092541B">
        <w:rPr>
          <w:rFonts w:ascii="Bookman Old Style" w:hAnsi="Bookman Old Style" w:cs="Times New Roman"/>
          <w:b/>
          <w:bCs/>
          <w:sz w:val="24"/>
          <w:szCs w:val="24"/>
        </w:rPr>
        <w:t>III</w:t>
      </w:r>
      <w:proofErr w:type="gramStart"/>
      <w:r w:rsidRPr="0092541B">
        <w:rPr>
          <w:rFonts w:ascii="Bookman Old Style" w:hAnsi="Bookman Old Style" w:cs="Times New Roman"/>
          <w:sz w:val="24"/>
          <w:szCs w:val="24"/>
        </w:rPr>
        <w:t>:Taxes</w:t>
      </w:r>
      <w:proofErr w:type="spellEnd"/>
      <w:proofErr w:type="gramEnd"/>
      <w:r w:rsidRPr="0092541B">
        <w:rPr>
          <w:rFonts w:ascii="Bookman Old Style" w:hAnsi="Bookman Old Style" w:cs="Times New Roman"/>
          <w:sz w:val="24"/>
          <w:szCs w:val="24"/>
        </w:rPr>
        <w:t xml:space="preserve"> and Duties: Subsumed under GST - Taxes and Duties outside the purview of GST: Tax on items containing Alcohol – Tax on Petroleum products - Tax on Tobacco</w:t>
      </w:r>
      <w:r w:rsidR="00420383">
        <w:rPr>
          <w:rFonts w:ascii="Bookman Old Style" w:hAnsi="Bookman Old Style" w:cs="Times New Roman"/>
          <w:sz w:val="24"/>
          <w:szCs w:val="24"/>
        </w:rPr>
        <w:t xml:space="preserve"> </w:t>
      </w:r>
      <w:r w:rsidRPr="0092541B">
        <w:rPr>
          <w:rFonts w:ascii="Bookman Old Style" w:hAnsi="Bookman Old Style" w:cs="Times New Roman"/>
          <w:sz w:val="24"/>
          <w:szCs w:val="24"/>
        </w:rPr>
        <w:t>products - Taxation of Services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009A9" w:rsidRPr="0092541B" w:rsidRDefault="00F009A9" w:rsidP="00C6652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 Unit-IV: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Inter-State Goods and Services Tax: Major advantages of IGST Model – Interstate Goods and Service Tax: Transactions within a State under GST – Interstate Transactions under GST - Illustrations.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009A9" w:rsidRPr="0092541B" w:rsidRDefault="00F009A9" w:rsidP="00C6652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</w:t>
      </w:r>
      <w:r w:rsidRPr="0092541B">
        <w:rPr>
          <w:rFonts w:ascii="Bookman Old Style" w:hAnsi="Bookman Old Style" w:cs="Times New Roman"/>
          <w:b/>
          <w:bCs/>
          <w:sz w:val="24"/>
          <w:szCs w:val="24"/>
        </w:rPr>
        <w:t>Unit-V: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Time of Supply of Goods &amp; Services: Value of Supply - Input Tax Credit – Distribution of Credit -Matching of Input Tax Credit - Availability of credit in special circumstances- Cross utilization of ITC between the Central GST and the State GST.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009A9" w:rsidRPr="0092541B" w:rsidRDefault="00F009A9" w:rsidP="00DF7E21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DF7E21" w:rsidRPr="0092541B">
        <w:rPr>
          <w:rFonts w:ascii="Bookman Old Style" w:hAnsi="Bookman Old Style" w:cs="Times New Roman"/>
          <w:b/>
          <w:bCs/>
          <w:sz w:val="24"/>
          <w:szCs w:val="24"/>
        </w:rPr>
        <w:t>REFERENCES</w:t>
      </w:r>
      <w:r w:rsidRPr="0092541B">
        <w:rPr>
          <w:rFonts w:ascii="Bookman Old Style" w:hAnsi="Bookman Old Style" w:cs="Times New Roman"/>
          <w:b/>
          <w:bCs/>
          <w:sz w:val="24"/>
          <w:szCs w:val="24"/>
        </w:rPr>
        <w:t>: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   1. Goods and Services Tax in India – Notifications on different dates. 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   2. GST Bill 2012. 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   3. Background Material on Model GST Law,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Sahitya</w:t>
      </w:r>
      <w:proofErr w:type="spellEnd"/>
      <w:r w:rsidRPr="0092541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2541B">
        <w:rPr>
          <w:rFonts w:ascii="Bookman Old Style" w:hAnsi="Bookman Old Style" w:cs="Times New Roman"/>
          <w:sz w:val="24"/>
          <w:szCs w:val="24"/>
        </w:rPr>
        <w:t>Bhawan</w:t>
      </w:r>
      <w:proofErr w:type="spellEnd"/>
      <w:r w:rsidRPr="0092541B">
        <w:rPr>
          <w:rFonts w:ascii="Bookman Old Style" w:hAnsi="Bookman Old Style" w:cs="Times New Roman"/>
          <w:sz w:val="24"/>
          <w:szCs w:val="24"/>
        </w:rPr>
        <w:t xml:space="preserve"> </w:t>
      </w:r>
      <w:r w:rsidR="006D5862">
        <w:rPr>
          <w:rFonts w:ascii="Bookman Old Style" w:hAnsi="Bookman Old Style" w:cs="Times New Roman"/>
          <w:sz w:val="24"/>
          <w:szCs w:val="24"/>
        </w:rPr>
        <w:br/>
        <w:t xml:space="preserve">         </w:t>
      </w:r>
      <w:r w:rsidRPr="0092541B">
        <w:rPr>
          <w:rFonts w:ascii="Bookman Old Style" w:hAnsi="Bookman Old Style" w:cs="Times New Roman"/>
          <w:sz w:val="24"/>
          <w:szCs w:val="24"/>
        </w:rPr>
        <w:t>Publications, Hospital Road, Agra - 282 003.</w:t>
      </w:r>
    </w:p>
    <w:p w:rsidR="00F009A9" w:rsidRPr="0092541B" w:rsidRDefault="00F009A9" w:rsidP="008669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2541B">
        <w:rPr>
          <w:rFonts w:ascii="Bookman Old Style" w:hAnsi="Bookman Old Style" w:cs="Times New Roman"/>
          <w:sz w:val="24"/>
          <w:szCs w:val="24"/>
        </w:rPr>
        <w:t xml:space="preserve">   4. The Central Goods and Services Tax Act, 2017, NO. 12 OF 2017 </w:t>
      </w:r>
      <w:r w:rsidR="006D5862">
        <w:rPr>
          <w:rFonts w:ascii="Bookman Old Style" w:hAnsi="Bookman Old Style" w:cs="Times New Roman"/>
          <w:sz w:val="24"/>
          <w:szCs w:val="24"/>
        </w:rPr>
        <w:br/>
        <w:t xml:space="preserve">        </w:t>
      </w:r>
      <w:r w:rsidRPr="0092541B">
        <w:rPr>
          <w:rFonts w:ascii="Bookman Old Style" w:hAnsi="Bookman Old Style" w:cs="Times New Roman"/>
          <w:sz w:val="24"/>
          <w:szCs w:val="24"/>
        </w:rPr>
        <w:t xml:space="preserve">Published by Authority, Ministry of Law and Justice, New Delhi, the </w:t>
      </w:r>
      <w:r w:rsidR="006D5862">
        <w:rPr>
          <w:rFonts w:ascii="Bookman Old Style" w:hAnsi="Bookman Old Style" w:cs="Times New Roman"/>
          <w:sz w:val="24"/>
          <w:szCs w:val="24"/>
        </w:rPr>
        <w:br/>
        <w:t xml:space="preserve">       </w:t>
      </w:r>
      <w:r w:rsidRPr="0092541B">
        <w:rPr>
          <w:rFonts w:ascii="Bookman Old Style" w:hAnsi="Bookman Old Style" w:cs="Times New Roman"/>
          <w:sz w:val="24"/>
          <w:szCs w:val="24"/>
        </w:rPr>
        <w:t>12thApril, 2017.</w:t>
      </w:r>
    </w:p>
    <w:p w:rsidR="00F009A9" w:rsidRPr="0092541B" w:rsidRDefault="00F009A9" w:rsidP="00866939">
      <w:pPr>
        <w:jc w:val="both"/>
        <w:rPr>
          <w:rFonts w:ascii="Bookman Old Style" w:hAnsi="Bookman Old Style"/>
        </w:rPr>
      </w:pPr>
    </w:p>
    <w:p w:rsidR="00F009A9" w:rsidRPr="0092541B" w:rsidRDefault="00F009A9" w:rsidP="00866939">
      <w:pPr>
        <w:jc w:val="both"/>
        <w:rPr>
          <w:rFonts w:ascii="Bookman Old Style" w:hAnsi="Bookman Old Style"/>
        </w:rPr>
      </w:pPr>
    </w:p>
    <w:p w:rsidR="00F009A9" w:rsidRPr="0092541B" w:rsidRDefault="00F009A9" w:rsidP="00866939">
      <w:pPr>
        <w:jc w:val="both"/>
        <w:rPr>
          <w:rFonts w:ascii="Bookman Old Style" w:hAnsi="Bookman Old Style"/>
        </w:rPr>
      </w:pPr>
    </w:p>
    <w:p w:rsidR="00F009A9" w:rsidRPr="0092541B" w:rsidRDefault="00F009A9" w:rsidP="00866939">
      <w:pPr>
        <w:jc w:val="both"/>
        <w:rPr>
          <w:rFonts w:ascii="Bookman Old Style" w:hAnsi="Bookman Old Style"/>
        </w:rPr>
      </w:pPr>
    </w:p>
    <w:sectPr w:rsidR="00F009A9" w:rsidRPr="0092541B" w:rsidSect="0052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93E"/>
    <w:multiLevelType w:val="hybridMultilevel"/>
    <w:tmpl w:val="F454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1B86"/>
    <w:multiLevelType w:val="hybridMultilevel"/>
    <w:tmpl w:val="6D4EE6C6"/>
    <w:lvl w:ilvl="0" w:tplc="B6CAD6AE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7177B5B"/>
    <w:multiLevelType w:val="hybridMultilevel"/>
    <w:tmpl w:val="7AC8D4D6"/>
    <w:lvl w:ilvl="0" w:tplc="D07A6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662A"/>
    <w:multiLevelType w:val="hybridMultilevel"/>
    <w:tmpl w:val="E766E2F4"/>
    <w:lvl w:ilvl="0" w:tplc="036A65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41870"/>
    <w:multiLevelType w:val="hybridMultilevel"/>
    <w:tmpl w:val="1562A05A"/>
    <w:lvl w:ilvl="0" w:tplc="4F829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5D0917"/>
    <w:multiLevelType w:val="hybridMultilevel"/>
    <w:tmpl w:val="3E14E914"/>
    <w:lvl w:ilvl="0" w:tplc="2FD43F6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15EA9"/>
    <w:multiLevelType w:val="hybridMultilevel"/>
    <w:tmpl w:val="20C0CFA6"/>
    <w:lvl w:ilvl="0" w:tplc="A5C2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7B0"/>
    <w:rsid w:val="000B67C9"/>
    <w:rsid w:val="000F64C2"/>
    <w:rsid w:val="001E6154"/>
    <w:rsid w:val="0023075C"/>
    <w:rsid w:val="00291518"/>
    <w:rsid w:val="002B7775"/>
    <w:rsid w:val="002E4E00"/>
    <w:rsid w:val="002E590F"/>
    <w:rsid w:val="002E7C2A"/>
    <w:rsid w:val="00322BD9"/>
    <w:rsid w:val="00376DAD"/>
    <w:rsid w:val="003971F0"/>
    <w:rsid w:val="003C2073"/>
    <w:rsid w:val="00420383"/>
    <w:rsid w:val="00481209"/>
    <w:rsid w:val="004B37B0"/>
    <w:rsid w:val="004C01E0"/>
    <w:rsid w:val="004C2915"/>
    <w:rsid w:val="004F1047"/>
    <w:rsid w:val="00512042"/>
    <w:rsid w:val="005219C6"/>
    <w:rsid w:val="00524FE9"/>
    <w:rsid w:val="005943CE"/>
    <w:rsid w:val="005C3BAA"/>
    <w:rsid w:val="005E6CA1"/>
    <w:rsid w:val="005E6FE6"/>
    <w:rsid w:val="00643D29"/>
    <w:rsid w:val="00673AE9"/>
    <w:rsid w:val="006A5C62"/>
    <w:rsid w:val="006B4B4E"/>
    <w:rsid w:val="006B56FF"/>
    <w:rsid w:val="006C3D59"/>
    <w:rsid w:val="006D5862"/>
    <w:rsid w:val="0071253D"/>
    <w:rsid w:val="00723F9B"/>
    <w:rsid w:val="00752372"/>
    <w:rsid w:val="007B5707"/>
    <w:rsid w:val="007D77BF"/>
    <w:rsid w:val="007E3786"/>
    <w:rsid w:val="007E48D2"/>
    <w:rsid w:val="00802867"/>
    <w:rsid w:val="00866939"/>
    <w:rsid w:val="008871D4"/>
    <w:rsid w:val="00891865"/>
    <w:rsid w:val="008B4616"/>
    <w:rsid w:val="008C0A6F"/>
    <w:rsid w:val="0092541B"/>
    <w:rsid w:val="00930613"/>
    <w:rsid w:val="0097285B"/>
    <w:rsid w:val="009A4950"/>
    <w:rsid w:val="00AF22D8"/>
    <w:rsid w:val="00B24650"/>
    <w:rsid w:val="00B40491"/>
    <w:rsid w:val="00B51B28"/>
    <w:rsid w:val="00B8734B"/>
    <w:rsid w:val="00BE4709"/>
    <w:rsid w:val="00BF1351"/>
    <w:rsid w:val="00C04BBC"/>
    <w:rsid w:val="00C6652D"/>
    <w:rsid w:val="00CE65E1"/>
    <w:rsid w:val="00D95AF7"/>
    <w:rsid w:val="00DB346E"/>
    <w:rsid w:val="00DF7E21"/>
    <w:rsid w:val="00E034E7"/>
    <w:rsid w:val="00E60B59"/>
    <w:rsid w:val="00E65791"/>
    <w:rsid w:val="00E81658"/>
    <w:rsid w:val="00E96380"/>
    <w:rsid w:val="00F009A9"/>
    <w:rsid w:val="00F524BB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B0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58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802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80286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5E85-2FAC-4FEE-BF81-30764C04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68</cp:revision>
  <cp:lastPrinted>2017-07-06T06:59:00Z</cp:lastPrinted>
  <dcterms:created xsi:type="dcterms:W3CDTF">2017-07-05T10:47:00Z</dcterms:created>
  <dcterms:modified xsi:type="dcterms:W3CDTF">2017-11-12T06:04:00Z</dcterms:modified>
</cp:coreProperties>
</file>